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F5184" w14:textId="71741645" w:rsidR="4C758410" w:rsidRDefault="4C758410" w:rsidP="4C758410">
      <w:pPr>
        <w:jc w:val="center"/>
      </w:pPr>
    </w:p>
    <w:p w14:paraId="6265676E" w14:textId="120091DE" w:rsidR="5E9D0781" w:rsidRDefault="5E9D0781" w:rsidP="0FC63640">
      <w:pPr>
        <w:spacing w:after="0"/>
        <w:jc w:val="right"/>
        <w:rPr>
          <w:b/>
          <w:bCs/>
          <w:u w:val="single"/>
        </w:rPr>
      </w:pPr>
      <w:r w:rsidRPr="0FC63640">
        <w:rPr>
          <w:b/>
          <w:bCs/>
        </w:rPr>
        <w:t>Apellidos, Nombre(s</w:t>
      </w:r>
      <w:proofErr w:type="gramStart"/>
      <w:r w:rsidRPr="0FC63640">
        <w:rPr>
          <w:b/>
          <w:bCs/>
        </w:rPr>
        <w:t>):</w:t>
      </w:r>
      <w:proofErr w:type="spellStart"/>
      <w:r w:rsidR="00A92DCF">
        <w:rPr>
          <w:b/>
          <w:bCs/>
          <w:u w:val="single"/>
        </w:rPr>
        <w:t>Gonzalez</w:t>
      </w:r>
      <w:proofErr w:type="spellEnd"/>
      <w:proofErr w:type="gramEnd"/>
      <w:r w:rsidR="00A92DCF">
        <w:rPr>
          <w:b/>
          <w:bCs/>
          <w:u w:val="single"/>
        </w:rPr>
        <w:t xml:space="preserve"> Romero Lya Alessandra</w:t>
      </w:r>
      <w:r w:rsidRPr="0FC63640">
        <w:rPr>
          <w:b/>
          <w:bCs/>
          <w:u w:val="single"/>
        </w:rPr>
        <w:t xml:space="preserve">                                </w:t>
      </w:r>
    </w:p>
    <w:p w14:paraId="4598B373" w14:textId="4F28D814" w:rsidR="0FC63640" w:rsidRDefault="0FC63640" w:rsidP="0FC63640">
      <w:pPr>
        <w:spacing w:after="0"/>
        <w:jc w:val="right"/>
        <w:rPr>
          <w:b/>
          <w:bCs/>
        </w:rPr>
      </w:pPr>
    </w:p>
    <w:p w14:paraId="2E16D156" w14:textId="18D7DB89" w:rsidR="27EF1068" w:rsidRDefault="27EF1068" w:rsidP="0FC63640">
      <w:pPr>
        <w:jc w:val="center"/>
      </w:pPr>
      <w:r>
        <w:t>Guía de caso</w:t>
      </w:r>
    </w:p>
    <w:p w14:paraId="48EEBD51" w14:textId="0420836B" w:rsidR="0A0248E8" w:rsidRDefault="0A0248E8" w:rsidP="0FC63640">
      <w:r>
        <w:t xml:space="preserve">En esta guía de caso deberás incluir los siguientes elementos: 1. Pregunta de investigación, 2. Título del caso, 3. </w:t>
      </w:r>
      <w:r w:rsidR="7FA2823D">
        <w:t>Descripción del caso, 4.</w:t>
      </w:r>
      <w:r>
        <w:t xml:space="preserve"> Lista de materiales </w:t>
      </w:r>
      <w:r w:rsidR="25622DA0">
        <w:t>complementarios</w:t>
      </w:r>
      <w:r w:rsidR="39FBEC66">
        <w:t xml:space="preserve"> y 5. Preguntas sobre el caso</w:t>
      </w:r>
      <w:r w:rsidR="25622DA0">
        <w:t>.</w:t>
      </w:r>
      <w:r>
        <w:br/>
      </w:r>
    </w:p>
    <w:p w14:paraId="44E4696E" w14:textId="77777777" w:rsidR="00A92DCF" w:rsidRDefault="27EF1068" w:rsidP="0FC63640">
      <w:pPr>
        <w:pStyle w:val="Prrafodelista"/>
        <w:numPr>
          <w:ilvl w:val="0"/>
          <w:numId w:val="2"/>
        </w:numPr>
      </w:pPr>
      <w:r>
        <w:t>Señala tu pregunta de investigación</w:t>
      </w:r>
      <w:r w:rsidR="54005169">
        <w:t xml:space="preserve"> (ej. ¿Las investigaciones de corrupción tienen sesgo partidista?, ¿Por qué existen variaciones en el nivel </w:t>
      </w:r>
      <w:r w:rsidR="19307BCE">
        <w:t>de participación cívica?</w:t>
      </w:r>
      <w:r w:rsidR="54005169">
        <w:t>)</w:t>
      </w:r>
      <w:r w:rsidR="246BAF1C">
        <w:t>.</w:t>
      </w:r>
    </w:p>
    <w:p w14:paraId="3ECB97D9" w14:textId="77777777" w:rsidR="00A92DCF" w:rsidRPr="00A92DCF" w:rsidRDefault="00A92DCF" w:rsidP="00A92DCF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bCs/>
          <w:color w:val="1C2B33"/>
          <w:sz w:val="23"/>
          <w:szCs w:val="23"/>
          <w:lang w:eastAsia="es-MX"/>
        </w:rPr>
      </w:pPr>
      <w:r w:rsidRPr="00A92DCF">
        <w:rPr>
          <w:rFonts w:eastAsia="Times New Roman" w:cstheme="minorHAnsi"/>
          <w:b/>
          <w:bCs/>
          <w:color w:val="1C2B33"/>
          <w:sz w:val="23"/>
          <w:szCs w:val="23"/>
          <w:lang w:eastAsia="es-MX"/>
        </w:rPr>
        <w:t>¿Cuál es el impacto de la evasión fiscal en la recaudación de impuestos y el presupuesto público en países en desarrollo?</w:t>
      </w:r>
    </w:p>
    <w:p w14:paraId="7C1BC329" w14:textId="77777777" w:rsidR="00A92DCF" w:rsidRDefault="6116D625" w:rsidP="00A92DCF">
      <w:pPr>
        <w:pStyle w:val="Prrafodelista"/>
        <w:numPr>
          <w:ilvl w:val="0"/>
          <w:numId w:val="2"/>
        </w:numPr>
      </w:pPr>
      <w:r>
        <w:t xml:space="preserve">Indica el título del caso que presentarás (ej. </w:t>
      </w:r>
      <w:r w:rsidR="4A5504DC">
        <w:t>Simulación en las acciones afirmativas: El caso de las Juanitas de 2009</w:t>
      </w:r>
      <w:r w:rsidR="1B7AB95D">
        <w:t>).</w:t>
      </w:r>
    </w:p>
    <w:p w14:paraId="79E54A11" w14:textId="77777777" w:rsidR="00A92DCF" w:rsidRPr="00A92DCF" w:rsidRDefault="00A92DCF" w:rsidP="00A92DCF">
      <w:pPr>
        <w:pStyle w:val="Prrafodelista"/>
        <w:rPr>
          <w:rFonts w:cstheme="minorHAnsi"/>
          <w:b/>
          <w:bCs/>
        </w:rPr>
      </w:pPr>
      <w:r w:rsidRPr="00A92DCF">
        <w:rPr>
          <w:rFonts w:cstheme="minorHAnsi"/>
          <w:b/>
          <w:bCs/>
        </w:rPr>
        <w:t>El caso de Google vs HMRC (2016)</w:t>
      </w:r>
    </w:p>
    <w:p w14:paraId="174AB024" w14:textId="2E5E8B89" w:rsidR="6116D625" w:rsidRDefault="6116D625" w:rsidP="00A92DCF">
      <w:r>
        <w:br/>
      </w:r>
    </w:p>
    <w:p w14:paraId="341305F9" w14:textId="77777777" w:rsidR="00A92DCF" w:rsidRDefault="35166412" w:rsidP="0FC63640">
      <w:pPr>
        <w:pStyle w:val="Prrafodelista"/>
        <w:numPr>
          <w:ilvl w:val="0"/>
          <w:numId w:val="2"/>
        </w:numPr>
      </w:pPr>
      <w:r>
        <w:t>Describe el caso de forma detallada</w:t>
      </w:r>
      <w:r w:rsidR="19155581">
        <w:t xml:space="preserve"> (</w:t>
      </w:r>
      <w:r w:rsidR="24AE509A">
        <w:t>actores involucrados,</w:t>
      </w:r>
      <w:r w:rsidR="1229AA05">
        <w:t xml:space="preserve"> </w:t>
      </w:r>
      <w:r w:rsidR="19155581">
        <w:t>temporalidad, ubicación geográfica, relevancia,</w:t>
      </w:r>
      <w:r w:rsidR="0F3E85F2">
        <w:t xml:space="preserve"> </w:t>
      </w:r>
      <w:r w:rsidR="19155581">
        <w:t>etc</w:t>
      </w:r>
      <w:r w:rsidR="3988410D">
        <w:t>.</w:t>
      </w:r>
      <w:r w:rsidR="19155581">
        <w:t>)</w:t>
      </w:r>
      <w:r w:rsidR="2BA7D28A">
        <w:t xml:space="preserve"> de forma que sea fácil de comprender para</w:t>
      </w:r>
      <w:r w:rsidR="4DCBDB47">
        <w:t xml:space="preserve"> el</w:t>
      </w:r>
      <w:r w:rsidR="2BA7D28A">
        <w:t xml:space="preserve"> público en general</w:t>
      </w:r>
      <w:r>
        <w:t xml:space="preserve">. Incluye nombres </w:t>
      </w:r>
      <w:r w:rsidR="5BD1333B">
        <w:t>y cargos o rol de</w:t>
      </w:r>
      <w:r>
        <w:t xml:space="preserve"> actores principales, fechas relevantes, </w:t>
      </w:r>
      <w:r w:rsidR="28F401DE">
        <w:t>legislación aplicable</w:t>
      </w:r>
      <w:r w:rsidR="6424EEAA">
        <w:t>. Utiliza una estructura introducción-desarrollo-nudo-desenlace</w:t>
      </w:r>
      <w:r w:rsidR="10F0500F">
        <w:t>.</w:t>
      </w:r>
      <w:r w:rsidR="4A20874B">
        <w:t xml:space="preserve"> (ej.</w:t>
      </w:r>
      <w:r w:rsidR="11EDF7F2">
        <w:t xml:space="preserve"> </w:t>
      </w:r>
      <w:hyperlink r:id="rId8">
        <w:r w:rsidR="11EDF7F2" w:rsidRPr="0FC63640">
          <w:rPr>
            <w:rStyle w:val="Hipervnculo"/>
          </w:rPr>
          <w:t>Guía de caso de Acciones afirmativas</w:t>
        </w:r>
      </w:hyperlink>
      <w:r w:rsidR="4A20874B">
        <w:t>)</w:t>
      </w:r>
      <w:r w:rsidR="321DE7F8">
        <w:t>.</w:t>
      </w:r>
    </w:p>
    <w:p w14:paraId="7858B12E" w14:textId="1AD87285" w:rsidR="00A92DCF" w:rsidRPr="00A92DCF" w:rsidRDefault="00A92DCF" w:rsidP="00A92DCF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1C2B33"/>
          <w:sz w:val="23"/>
          <w:szCs w:val="23"/>
          <w:lang w:eastAsia="es-MX"/>
        </w:rPr>
      </w:pPr>
      <w:r w:rsidRPr="00A92DCF">
        <w:rPr>
          <w:rFonts w:ascii="var(--font-family-segoe)" w:eastAsia="Times New Roman" w:hAnsi="var(--font-family-segoe)" w:cs="Times New Roman"/>
          <w:color w:val="1C2B33"/>
          <w:sz w:val="23"/>
          <w:szCs w:val="23"/>
          <w:lang w:eastAsia="es-MX"/>
        </w:rPr>
        <w:t xml:space="preserve">Todo comenzó en 2005, cuando Google empezó a realizar ventas en el Reino Unido. Sin </w:t>
      </w:r>
      <w:r>
        <w:rPr>
          <w:rFonts w:ascii="var(--font-family-segoe)" w:eastAsia="Times New Roman" w:hAnsi="var(--font-family-segoe)" w:cs="Times New Roman"/>
          <w:color w:val="1C2B33"/>
          <w:sz w:val="23"/>
          <w:szCs w:val="23"/>
          <w:lang w:eastAsia="es-MX"/>
        </w:rPr>
        <w:t xml:space="preserve">pagar </w:t>
      </w:r>
      <w:r w:rsidRPr="00A92DCF">
        <w:rPr>
          <w:rFonts w:ascii="var(--font-family-segoe)" w:eastAsia="Times New Roman" w:hAnsi="var(--font-family-segoe)" w:cs="Times New Roman"/>
          <w:color w:val="1C2B33"/>
          <w:sz w:val="23"/>
          <w:szCs w:val="23"/>
          <w:lang w:eastAsia="es-MX"/>
        </w:rPr>
        <w:t xml:space="preserve">impuestos sobre esas ventas, utilizando estructuras fiscales complejas para evitar pagar su justa </w:t>
      </w:r>
      <w:proofErr w:type="spellStart"/>
      <w:proofErr w:type="gramStart"/>
      <w:r w:rsidRPr="00A92DCF">
        <w:rPr>
          <w:rFonts w:ascii="var(--font-family-segoe)" w:eastAsia="Times New Roman" w:hAnsi="var(--font-family-segoe)" w:cs="Times New Roman"/>
          <w:color w:val="1C2B33"/>
          <w:sz w:val="23"/>
          <w:szCs w:val="23"/>
          <w:lang w:eastAsia="es-MX"/>
        </w:rPr>
        <w:t>parte.La</w:t>
      </w:r>
      <w:proofErr w:type="spellEnd"/>
      <w:proofErr w:type="gramEnd"/>
      <w:r w:rsidRPr="00A92DCF">
        <w:rPr>
          <w:rFonts w:ascii="var(--font-family-segoe)" w:eastAsia="Times New Roman" w:hAnsi="var(--font-family-segoe)" w:cs="Times New Roman"/>
          <w:color w:val="1C2B33"/>
          <w:sz w:val="23"/>
          <w:szCs w:val="23"/>
          <w:lang w:eastAsia="es-MX"/>
        </w:rPr>
        <w:t xml:space="preserve"> Agencia de Ingresos y Aduanas de Su Majestad (HMRC) </w:t>
      </w:r>
      <w:r>
        <w:rPr>
          <w:rFonts w:ascii="var(--font-family-segoe)" w:eastAsia="Times New Roman" w:hAnsi="var(--font-family-segoe)" w:cs="Times New Roman"/>
          <w:color w:val="1C2B33"/>
          <w:sz w:val="23"/>
          <w:szCs w:val="23"/>
          <w:lang w:eastAsia="es-MX"/>
        </w:rPr>
        <w:t xml:space="preserve">se </w:t>
      </w:r>
      <w:proofErr w:type="spellStart"/>
      <w:r>
        <w:rPr>
          <w:rFonts w:ascii="var(--font-family-segoe)" w:eastAsia="Times New Roman" w:hAnsi="var(--font-family-segoe)" w:cs="Times New Roman"/>
          <w:color w:val="1C2B33"/>
          <w:sz w:val="23"/>
          <w:szCs w:val="23"/>
          <w:lang w:eastAsia="es-MX"/>
        </w:rPr>
        <w:t>percato</w:t>
      </w:r>
      <w:proofErr w:type="spellEnd"/>
      <w:r>
        <w:rPr>
          <w:rFonts w:ascii="var(--font-family-segoe)" w:eastAsia="Times New Roman" w:hAnsi="var(--font-family-segoe)" w:cs="Times New Roman"/>
          <w:color w:val="1C2B33"/>
          <w:sz w:val="23"/>
          <w:szCs w:val="23"/>
          <w:lang w:eastAsia="es-MX"/>
        </w:rPr>
        <w:t xml:space="preserve"> de este fraude</w:t>
      </w:r>
      <w:r w:rsidRPr="00A92DCF">
        <w:rPr>
          <w:rFonts w:ascii="var(--font-family-segoe)" w:eastAsia="Times New Roman" w:hAnsi="var(--font-family-segoe)" w:cs="Times New Roman"/>
          <w:color w:val="1C2B33"/>
          <w:sz w:val="23"/>
          <w:szCs w:val="23"/>
          <w:lang w:eastAsia="es-MX"/>
        </w:rPr>
        <w:t xml:space="preserve"> y comenzó a investigar las prácticas fiscales de Google en 2010. Después de </w:t>
      </w:r>
      <w:r>
        <w:rPr>
          <w:rFonts w:ascii="var(--font-family-segoe)" w:eastAsia="Times New Roman" w:hAnsi="var(--font-family-segoe)" w:cs="Times New Roman"/>
          <w:color w:val="1C2B33"/>
          <w:sz w:val="23"/>
          <w:szCs w:val="23"/>
          <w:lang w:eastAsia="es-MX"/>
        </w:rPr>
        <w:t xml:space="preserve">algunos años </w:t>
      </w:r>
      <w:r w:rsidRPr="00A92DCF">
        <w:rPr>
          <w:rFonts w:ascii="var(--font-family-segoe)" w:eastAsia="Times New Roman" w:hAnsi="var(--font-family-segoe)" w:cs="Times New Roman"/>
          <w:color w:val="1C2B33"/>
          <w:sz w:val="23"/>
          <w:szCs w:val="23"/>
          <w:lang w:eastAsia="es-MX"/>
        </w:rPr>
        <w:t xml:space="preserve">de investigación, Google finalmente pagó 20,4 millones de libras en impuestos en 2013.Sin embargo, esto no fue suficiente. La HMRC continuó investigando y, en 2016, se llegó a un acuerdo entre Google y la HMRC para que la empresa pagara 130 millones de libras en impuestos </w:t>
      </w:r>
      <w:r w:rsidRPr="00A92DCF">
        <w:rPr>
          <w:rFonts w:ascii="var(--font-family-segoe)" w:eastAsia="Times New Roman" w:hAnsi="var(--font-family-segoe)" w:cs="Times New Roman"/>
          <w:color w:val="1C2B33"/>
          <w:sz w:val="23"/>
          <w:szCs w:val="23"/>
          <w:lang w:eastAsia="es-MX"/>
        </w:rPr>
        <w:t xml:space="preserve">atrasados. </w:t>
      </w:r>
      <w:r>
        <w:rPr>
          <w:rFonts w:ascii="var(--font-family-segoe)" w:eastAsia="Times New Roman" w:hAnsi="var(--font-family-segoe)" w:cs="Times New Roman"/>
          <w:color w:val="1C2B33"/>
          <w:sz w:val="23"/>
          <w:szCs w:val="23"/>
          <w:lang w:eastAsia="es-MX"/>
        </w:rPr>
        <w:t>El</w:t>
      </w:r>
      <w:r w:rsidRPr="00A92DCF">
        <w:rPr>
          <w:rFonts w:ascii="var(--font-family-segoe)" w:eastAsia="Times New Roman" w:hAnsi="var(--font-family-segoe)" w:cs="Times New Roman"/>
          <w:color w:val="1C2B33"/>
          <w:sz w:val="23"/>
          <w:szCs w:val="23"/>
          <w:lang w:eastAsia="es-MX"/>
        </w:rPr>
        <w:t xml:space="preserve"> caso generó un gran </w:t>
      </w:r>
      <w:proofErr w:type="spellStart"/>
      <w:r w:rsidRPr="00A92DCF">
        <w:rPr>
          <w:rFonts w:ascii="var(--font-family-segoe)" w:eastAsia="Times New Roman" w:hAnsi="var(--font-family-segoe)" w:cs="Times New Roman"/>
          <w:color w:val="1C2B33"/>
          <w:sz w:val="23"/>
          <w:szCs w:val="23"/>
          <w:lang w:eastAsia="es-MX"/>
        </w:rPr>
        <w:t>e</w:t>
      </w:r>
      <w:r>
        <w:rPr>
          <w:rFonts w:ascii="var(--font-family-segoe)" w:eastAsia="Times New Roman" w:hAnsi="var(--font-family-segoe)" w:cs="Times New Roman"/>
          <w:color w:val="1C2B33"/>
          <w:sz w:val="23"/>
          <w:szCs w:val="23"/>
          <w:lang w:eastAsia="es-MX"/>
        </w:rPr>
        <w:t>scandalo</w:t>
      </w:r>
      <w:proofErr w:type="spellEnd"/>
      <w:r w:rsidRPr="00A92DCF">
        <w:rPr>
          <w:rFonts w:ascii="var(--font-family-segoe)" w:eastAsia="Times New Roman" w:hAnsi="var(--font-family-segoe)" w:cs="Times New Roman"/>
          <w:color w:val="1C2B33"/>
          <w:sz w:val="23"/>
          <w:szCs w:val="23"/>
          <w:lang w:eastAsia="es-MX"/>
        </w:rPr>
        <w:t xml:space="preserve"> en la opinión pública y llevó a un debate sobre la necesidad de reformar el sistema fiscal internacional para evitar la evasión fiscal y garantizar que las empresas multinacionales paguen su justa parte de impuestos.</w:t>
      </w:r>
    </w:p>
    <w:p w14:paraId="56C0F5F3" w14:textId="21041129" w:rsidR="35166412" w:rsidRDefault="35166412" w:rsidP="00A92DCF">
      <w:pPr>
        <w:ind w:left="360"/>
      </w:pPr>
      <w:r>
        <w:br/>
      </w:r>
    </w:p>
    <w:p w14:paraId="4A116C17" w14:textId="158237B9" w:rsidR="277FEB88" w:rsidRDefault="277FEB88" w:rsidP="0FC63640">
      <w:pPr>
        <w:pStyle w:val="Prrafodelista"/>
        <w:numPr>
          <w:ilvl w:val="0"/>
          <w:numId w:val="2"/>
        </w:numPr>
      </w:pPr>
      <w:r>
        <w:t xml:space="preserve">Proporciona una lista de los materiales </w:t>
      </w:r>
      <w:r w:rsidR="1B447999">
        <w:t>complementarios</w:t>
      </w:r>
      <w:r>
        <w:t xml:space="preserve"> que sugieres para conocer más del caso. </w:t>
      </w:r>
      <w:r w:rsidR="6679D163">
        <w:t>No olvides señalar referencias completas e incluir</w:t>
      </w:r>
      <w:r>
        <w:t xml:space="preserve"> hipervínculos</w:t>
      </w:r>
      <w:r w:rsidR="4B396666">
        <w:t>.</w:t>
      </w:r>
      <w:r w:rsidR="596DB22A">
        <w:t xml:space="preserve"> (</w:t>
      </w:r>
      <w:proofErr w:type="spellStart"/>
      <w:r w:rsidR="596DB22A">
        <w:t>ej</w:t>
      </w:r>
      <w:proofErr w:type="spellEnd"/>
      <w:r w:rsidR="596DB22A">
        <w:t>:</w:t>
      </w:r>
      <w:r w:rsidR="6D0A61AC">
        <w:t xml:space="preserve"> </w:t>
      </w:r>
      <w:r w:rsidR="6D0A61AC" w:rsidRPr="0FC63640">
        <w:rPr>
          <w:rFonts w:ascii="Open Sans" w:eastAsia="Open Sans" w:hAnsi="Open Sans" w:cs="Open Sans"/>
          <w:color w:val="495057"/>
          <w:sz w:val="21"/>
          <w:szCs w:val="21"/>
        </w:rPr>
        <w:lastRenderedPageBreak/>
        <w:t xml:space="preserve">Bonifaz Alfonso, B. (s.f.) </w:t>
      </w:r>
      <w:hyperlink r:id="rId9">
        <w:r w:rsidR="6D0A61AC" w:rsidRPr="0FC63640">
          <w:rPr>
            <w:rStyle w:val="Hipervnculo"/>
            <w:rFonts w:ascii="Open Sans" w:eastAsia="Open Sans" w:hAnsi="Open Sans" w:cs="Open Sans"/>
            <w:color w:val="23A30B"/>
            <w:sz w:val="21"/>
            <w:szCs w:val="21"/>
            <w:u w:val="none"/>
          </w:rPr>
          <w:t>El principio de paridad en las elecciones: aplicación, resultados y retos. SCJN.)</w:t>
        </w:r>
        <w:r w:rsidR="08DD2013" w:rsidRPr="0FC63640">
          <w:rPr>
            <w:rStyle w:val="Hipervnculo"/>
            <w:rFonts w:ascii="Open Sans" w:eastAsia="Open Sans" w:hAnsi="Open Sans" w:cs="Open Sans"/>
            <w:color w:val="23A30B"/>
            <w:sz w:val="21"/>
            <w:szCs w:val="21"/>
            <w:u w:val="none"/>
          </w:rPr>
          <w:t>.</w:t>
        </w:r>
      </w:hyperlink>
      <w:r w:rsidR="08DD2013" w:rsidRPr="0FC63640">
        <w:t xml:space="preserve"> Incluye al menos tres materiales complementarios.</w:t>
      </w:r>
    </w:p>
    <w:p w14:paraId="3699367B" w14:textId="4BA1E76A" w:rsidR="08DD2013" w:rsidRPr="004C5EE8" w:rsidRDefault="08DD2013" w:rsidP="0FC63640">
      <w:pPr>
        <w:pStyle w:val="Prrafodelista"/>
        <w:numPr>
          <w:ilvl w:val="1"/>
          <w:numId w:val="2"/>
        </w:numPr>
        <w:rPr>
          <w:rFonts w:cstheme="minorHAnsi"/>
        </w:rPr>
      </w:pPr>
      <w:r w:rsidRPr="004C5EE8">
        <w:rPr>
          <w:rFonts w:eastAsia="Open Sans" w:cstheme="minorHAnsi"/>
        </w:rPr>
        <w:t xml:space="preserve"> </w:t>
      </w:r>
      <w:r w:rsidR="004C5EE8" w:rsidRPr="004C5EE8">
        <w:rPr>
          <w:rFonts w:eastAsia="Open Sans" w:cstheme="minorHAnsi"/>
          <w:b/>
          <w:bCs/>
        </w:rPr>
        <w:t>Artículos de noticias</w:t>
      </w:r>
      <w:r w:rsidR="004C5EE8" w:rsidRPr="004C5EE8">
        <w:rPr>
          <w:rFonts w:eastAsia="Open Sans" w:cstheme="minorHAnsi"/>
        </w:rPr>
        <w:t xml:space="preserve"> como BBC NEWS, The </w:t>
      </w:r>
      <w:proofErr w:type="spellStart"/>
      <w:r w:rsidR="004C5EE8" w:rsidRPr="004C5EE8">
        <w:rPr>
          <w:rFonts w:eastAsia="Open Sans" w:cstheme="minorHAnsi"/>
        </w:rPr>
        <w:t>guardian</w:t>
      </w:r>
      <w:proofErr w:type="spellEnd"/>
      <w:r w:rsidR="004C5EE8" w:rsidRPr="004C5EE8">
        <w:rPr>
          <w:rFonts w:eastAsia="Open Sans" w:cstheme="minorHAnsi"/>
        </w:rPr>
        <w:t xml:space="preserve"> &amp; Media </w:t>
      </w:r>
      <w:proofErr w:type="spellStart"/>
      <w:r w:rsidR="004C5EE8" w:rsidRPr="004C5EE8">
        <w:rPr>
          <w:rFonts w:eastAsia="Open Sans" w:cstheme="minorHAnsi"/>
        </w:rPr>
        <w:t>LImited</w:t>
      </w:r>
      <w:proofErr w:type="spellEnd"/>
    </w:p>
    <w:p w14:paraId="094818C0" w14:textId="77777777" w:rsidR="004C5EE8" w:rsidRPr="004C5EE8" w:rsidRDefault="08DD2013" w:rsidP="00977FB9">
      <w:pPr>
        <w:pStyle w:val="Prrafodelista"/>
        <w:numPr>
          <w:ilvl w:val="1"/>
          <w:numId w:val="2"/>
        </w:numPr>
        <w:rPr>
          <w:rFonts w:cstheme="minorHAnsi"/>
        </w:rPr>
      </w:pPr>
      <w:r w:rsidRPr="004C5EE8">
        <w:rPr>
          <w:rFonts w:eastAsia="Open Sans" w:cstheme="minorHAnsi"/>
        </w:rPr>
        <w:t xml:space="preserve"> </w:t>
      </w:r>
      <w:r w:rsidR="004C5EE8" w:rsidRPr="004C5EE8">
        <w:rPr>
          <w:rFonts w:eastAsia="Open Sans" w:cstheme="minorHAnsi"/>
          <w:b/>
          <w:bCs/>
        </w:rPr>
        <w:t>Informes como Documentos oficiales</w:t>
      </w:r>
      <w:r w:rsidR="004C5EE8" w:rsidRPr="004C5EE8">
        <w:rPr>
          <w:rFonts w:eastAsia="Open Sans" w:cstheme="minorHAnsi"/>
        </w:rPr>
        <w:t xml:space="preserve"> </w:t>
      </w:r>
      <w:proofErr w:type="spellStart"/>
      <w:r w:rsidR="004C5EE8" w:rsidRPr="004C5EE8">
        <w:rPr>
          <w:rFonts w:eastAsia="Open Sans" w:cstheme="minorHAnsi"/>
        </w:rPr>
        <w:t>Ej</w:t>
      </w:r>
      <w:proofErr w:type="spellEnd"/>
      <w:r w:rsidR="004C5EE8" w:rsidRPr="004C5EE8">
        <w:rPr>
          <w:rFonts w:eastAsia="Open Sans" w:cstheme="minorHAnsi"/>
        </w:rPr>
        <w:t xml:space="preserve"> Informe de la OCDE </w:t>
      </w:r>
      <w:r w:rsidR="004C5EE8" w:rsidRPr="004C5EE8">
        <w:rPr>
          <w:rFonts w:cstheme="minorHAnsi"/>
        </w:rPr>
        <w:t xml:space="preserve">sobre la </w:t>
      </w:r>
      <w:r w:rsidR="004C5EE8" w:rsidRPr="004C5EE8">
        <w:rPr>
          <w:rFonts w:cstheme="minorHAnsi"/>
        </w:rPr>
        <w:t>evasión fiscal de las empresas multinacionales"</w:t>
      </w:r>
      <w:r w:rsidRPr="004C5EE8">
        <w:rPr>
          <w:rFonts w:eastAsia="Open Sans" w:cstheme="minorHAnsi"/>
        </w:rPr>
        <w:t xml:space="preserve"> </w:t>
      </w:r>
    </w:p>
    <w:p w14:paraId="2AAE36AA" w14:textId="77777777" w:rsidR="004C5EE8" w:rsidRPr="004C5EE8" w:rsidRDefault="004C5EE8" w:rsidP="00977FB9">
      <w:pPr>
        <w:pStyle w:val="Prrafodelista"/>
        <w:numPr>
          <w:ilvl w:val="1"/>
          <w:numId w:val="2"/>
        </w:numPr>
      </w:pPr>
      <w:r w:rsidRPr="004C5EE8">
        <w:rPr>
          <w:rFonts w:cstheme="minorHAnsi"/>
          <w:b/>
          <w:bCs/>
        </w:rPr>
        <w:t>Libros y artículos</w:t>
      </w:r>
      <w:r w:rsidRPr="004C5EE8">
        <w:rPr>
          <w:rFonts w:cstheme="minorHAnsi"/>
        </w:rPr>
        <w:t xml:space="preserve"> como: </w:t>
      </w:r>
      <w:r w:rsidRPr="004C5EE8">
        <w:rPr>
          <w:rFonts w:cstheme="minorHAnsi"/>
        </w:rPr>
        <w:t>"La evasión fiscal de las empresas multinacionales: un análisis crítico"</w:t>
      </w:r>
      <w:r w:rsidR="08DD2013" w:rsidRPr="004C5EE8">
        <w:rPr>
          <w:rFonts w:cstheme="minorHAnsi"/>
        </w:rPr>
        <w:br/>
      </w:r>
    </w:p>
    <w:p w14:paraId="44FF06AB" w14:textId="77777777" w:rsidR="004C5EE8" w:rsidRPr="004C5EE8" w:rsidRDefault="004C5EE8" w:rsidP="00977FB9">
      <w:pPr>
        <w:pStyle w:val="Prrafodelista"/>
        <w:numPr>
          <w:ilvl w:val="1"/>
          <w:numId w:val="2"/>
        </w:numPr>
      </w:pPr>
      <w:r>
        <w:rPr>
          <w:rFonts w:cstheme="minorHAnsi"/>
          <w:b/>
          <w:bCs/>
        </w:rPr>
        <w:t>Algunos hipervínculos</w:t>
      </w:r>
      <w:r>
        <w:rPr>
          <w:rFonts w:cstheme="minorHAnsi"/>
        </w:rPr>
        <w:t xml:space="preserve"> son: </w:t>
      </w:r>
    </w:p>
    <w:p w14:paraId="4B73C4F9" w14:textId="3FBFF1F2" w:rsidR="004C5EE8" w:rsidRPr="004C5EE8" w:rsidRDefault="004C5EE8" w:rsidP="004C5EE8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4C5EE8">
        <w:rPr>
          <w:rFonts w:ascii="Arial" w:hAnsi="Arial" w:cs="Arial"/>
        </w:rPr>
        <w:t xml:space="preserve">¹Leyes de </w:t>
      </w:r>
      <w:proofErr w:type="gramStart"/>
      <w:r w:rsidRPr="004C5EE8">
        <w:rPr>
          <w:rFonts w:ascii="Arial" w:hAnsi="Arial" w:cs="Arial"/>
        </w:rPr>
        <w:t>impuestos.(</w:t>
      </w:r>
      <w:proofErr w:type="gramEnd"/>
      <w:r w:rsidRPr="004C5EE8">
        <w:rPr>
          <w:rFonts w:ascii="Arial" w:hAnsi="Arial" w:cs="Arial"/>
        </w:rPr>
        <w:t>1999).Legislation.gov.uk.</w:t>
      </w:r>
      <w:hyperlink r:id="rId10" w:history="1">
        <w:r w:rsidRPr="00947A28">
          <w:rPr>
            <w:rStyle w:val="Hipervnculo"/>
            <w:rFonts w:ascii="Arial" w:hAnsi="Arial" w:cs="Arial"/>
          </w:rPr>
          <w:t>https://www.legislation.gov.uk/</w:t>
        </w:r>
      </w:hyperlink>
    </w:p>
    <w:p w14:paraId="72E53FA8" w14:textId="77777777" w:rsidR="004C5EE8" w:rsidRPr="004C5EE8" w:rsidRDefault="004C5EE8" w:rsidP="004C5EE8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4C5EE8">
        <w:rPr>
          <w:rFonts w:ascii="Arial" w:hAnsi="Arial" w:cs="Arial"/>
          <w:b/>
          <w:bCs/>
        </w:rPr>
        <w:t>¹</w:t>
      </w:r>
      <w:r w:rsidRPr="004C5EE8">
        <w:rPr>
          <w:rFonts w:ascii="Arial" w:hAnsi="Arial" w:cs="Arial"/>
        </w:rPr>
        <w:t xml:space="preserve">HMRC vs Google (2016). (2016, 23 enero). </w:t>
      </w:r>
      <w:r w:rsidRPr="004C5EE8">
        <w:rPr>
          <w:rFonts w:ascii="Arial" w:hAnsi="Arial" w:cs="Arial"/>
          <w:i/>
          <w:iCs/>
        </w:rPr>
        <w:t>BBC NEWS</w:t>
      </w:r>
      <w:r w:rsidRPr="004C5EE8">
        <w:rPr>
          <w:rFonts w:ascii="Arial" w:hAnsi="Arial" w:cs="Arial"/>
        </w:rPr>
        <w:t xml:space="preserve">-UK. </w:t>
      </w:r>
      <w:hyperlink r:id="rId11" w:history="1">
        <w:r w:rsidRPr="004C5EE8">
          <w:rPr>
            <w:rStyle w:val="Hipervnculo"/>
            <w:rFonts w:ascii="Arial" w:hAnsi="Arial" w:cs="Arial"/>
          </w:rPr>
          <w:t>https://www.bbc.com/news/business-35381130</w:t>
        </w:r>
      </w:hyperlink>
    </w:p>
    <w:p w14:paraId="7E0FCC10" w14:textId="77777777" w:rsidR="004C5EE8" w:rsidRPr="004C5EE8" w:rsidRDefault="004C5EE8" w:rsidP="004C5EE8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4C5EE8">
        <w:rPr>
          <w:rFonts w:ascii="Arial" w:hAnsi="Arial" w:cs="Arial"/>
          <w:b/>
          <w:bCs/>
        </w:rPr>
        <w:t>¹</w:t>
      </w:r>
      <w:r w:rsidRPr="004C5EE8">
        <w:rPr>
          <w:rFonts w:ascii="Arial" w:hAnsi="Arial" w:cs="Arial"/>
        </w:rPr>
        <w:t xml:space="preserve">HMRC vs Google (2016). (2016, 26 enero). </w:t>
      </w:r>
      <w:r w:rsidRPr="004C5EE8">
        <w:rPr>
          <w:rFonts w:ascii="Arial" w:hAnsi="Arial" w:cs="Arial"/>
          <w:i/>
          <w:iCs/>
        </w:rPr>
        <w:t>The Guardian</w:t>
      </w:r>
      <w:r w:rsidRPr="004C5EE8">
        <w:rPr>
          <w:rFonts w:ascii="Arial" w:hAnsi="Arial" w:cs="Arial"/>
        </w:rPr>
        <w:t xml:space="preserve"> &amp; Media Limited-UK. </w:t>
      </w:r>
      <w:hyperlink r:id="rId12" w:history="1">
        <w:r w:rsidRPr="004C5EE8">
          <w:rPr>
            <w:rStyle w:val="Hipervnculo"/>
            <w:rFonts w:ascii="Arial" w:hAnsi="Arial" w:cs="Arial"/>
          </w:rPr>
          <w:t>https://www</w:t>
        </w:r>
      </w:hyperlink>
      <w:r w:rsidRPr="004C5EE8">
        <w:rPr>
          <w:rFonts w:ascii="Arial" w:hAnsi="Arial" w:cs="Arial"/>
        </w:rPr>
        <w:t>.theguardian.com/technology/2016/jan/26/oogle-tax-deal-was-purely-decision-of-hmrc-downing-street-stresses</w:t>
      </w:r>
    </w:p>
    <w:p w14:paraId="21DE9D21" w14:textId="75151622" w:rsidR="08DD2013" w:rsidRDefault="08DD2013" w:rsidP="004C5EE8">
      <w:pPr>
        <w:ind w:left="1080"/>
      </w:pPr>
      <w:r w:rsidRPr="004C5EE8">
        <w:rPr>
          <w:rFonts w:cstheme="minorHAnsi"/>
        </w:rPr>
        <w:br/>
      </w:r>
    </w:p>
    <w:p w14:paraId="579F8B7C" w14:textId="71A6FD1B" w:rsidR="557EA9F2" w:rsidRDefault="557EA9F2" w:rsidP="0FC63640">
      <w:pPr>
        <w:pStyle w:val="Prrafodelista"/>
        <w:numPr>
          <w:ilvl w:val="0"/>
          <w:numId w:val="2"/>
        </w:numPr>
      </w:pPr>
      <w:r w:rsidRPr="0FC63640">
        <w:t>Señala las preguntas sobre el caso que deberán responder tus compañeros antes de clase.</w:t>
      </w:r>
    </w:p>
    <w:p w14:paraId="1EF1A7A4" w14:textId="77777777" w:rsidR="004C5EE8" w:rsidRDefault="004C5EE8" w:rsidP="004C5EE8">
      <w:pPr>
        <w:pStyle w:val="Prrafodelista"/>
        <w:numPr>
          <w:ilvl w:val="0"/>
          <w:numId w:val="14"/>
        </w:numPr>
        <w:spacing w:line="256" w:lineRule="auto"/>
        <w:rPr>
          <w:rFonts w:ascii="Arial" w:hAnsi="Arial" w:cs="Arial"/>
        </w:rPr>
      </w:pPr>
      <w:r w:rsidRPr="004C5EE8">
        <w:rPr>
          <w:rFonts w:ascii="Arial" w:hAnsi="Arial" w:cs="Arial"/>
        </w:rPr>
        <w:t>¿Crees que es justo que las empresas como Google paguen menos impuestos que las empresas locales en un país?</w:t>
      </w:r>
    </w:p>
    <w:p w14:paraId="43D103F5" w14:textId="77777777" w:rsidR="004C5EE8" w:rsidRDefault="004C5EE8" w:rsidP="004C5EE8">
      <w:pPr>
        <w:pStyle w:val="Prrafodelista"/>
        <w:numPr>
          <w:ilvl w:val="0"/>
          <w:numId w:val="14"/>
        </w:numPr>
        <w:spacing w:line="256" w:lineRule="auto"/>
        <w:rPr>
          <w:rFonts w:ascii="Arial" w:hAnsi="Arial" w:cs="Arial"/>
        </w:rPr>
      </w:pPr>
      <w:r w:rsidRPr="004C5EE8">
        <w:rPr>
          <w:rFonts w:ascii="Arial" w:hAnsi="Arial" w:cs="Arial"/>
        </w:rPr>
        <w:t>¿Los gobiernos deberían priorizar el cobro de impuestos sobre las empresas multinacionales para financiar servicios públicos?</w:t>
      </w:r>
    </w:p>
    <w:p w14:paraId="6E0B7D63" w14:textId="77777777" w:rsidR="004C5EE8" w:rsidRDefault="004C5EE8" w:rsidP="004C5EE8">
      <w:pPr>
        <w:pStyle w:val="Prrafodelista"/>
        <w:numPr>
          <w:ilvl w:val="0"/>
          <w:numId w:val="14"/>
        </w:numPr>
        <w:spacing w:line="256" w:lineRule="auto"/>
        <w:rPr>
          <w:rFonts w:ascii="Arial" w:hAnsi="Arial" w:cs="Arial"/>
        </w:rPr>
      </w:pPr>
      <w:r w:rsidRPr="004C5EE8">
        <w:rPr>
          <w:rFonts w:ascii="Arial" w:hAnsi="Arial" w:cs="Arial"/>
        </w:rPr>
        <w:t>¿Es correcto que las empresas utilicen estructuras fiscales complejas para minimizar sus obligaciones fiscales?</w:t>
      </w:r>
    </w:p>
    <w:p w14:paraId="288C86FC" w14:textId="77777777" w:rsidR="004C5EE8" w:rsidRDefault="004C5EE8" w:rsidP="004C5EE8">
      <w:pPr>
        <w:pStyle w:val="Prrafodelista"/>
        <w:numPr>
          <w:ilvl w:val="0"/>
          <w:numId w:val="14"/>
        </w:numPr>
        <w:spacing w:line="256" w:lineRule="auto"/>
        <w:rPr>
          <w:rFonts w:ascii="Arial" w:hAnsi="Arial" w:cs="Arial"/>
        </w:rPr>
      </w:pPr>
      <w:r w:rsidRPr="004C5EE8">
        <w:rPr>
          <w:rFonts w:ascii="Arial" w:hAnsi="Arial" w:cs="Arial"/>
        </w:rPr>
        <w:t xml:space="preserve">¿Las autoridades fiscales </w:t>
      </w:r>
      <w:proofErr w:type="gramStart"/>
      <w:r w:rsidRPr="004C5EE8">
        <w:rPr>
          <w:rFonts w:ascii="Arial" w:hAnsi="Arial" w:cs="Arial"/>
        </w:rPr>
        <w:t>deben  tener</w:t>
      </w:r>
      <w:proofErr w:type="gramEnd"/>
      <w:r w:rsidRPr="004C5EE8">
        <w:rPr>
          <w:rFonts w:ascii="Arial" w:hAnsi="Arial" w:cs="Arial"/>
        </w:rPr>
        <w:t xml:space="preserve"> más poder para investigar y sancionar a las empresas que evaden impuestos?</w:t>
      </w:r>
    </w:p>
    <w:p w14:paraId="0E3E92A2" w14:textId="41FD2BF7" w:rsidR="004C5EE8" w:rsidRPr="004C5EE8" w:rsidRDefault="004C5EE8" w:rsidP="004C5EE8">
      <w:pPr>
        <w:pStyle w:val="Prrafodelista"/>
        <w:numPr>
          <w:ilvl w:val="0"/>
          <w:numId w:val="14"/>
        </w:numPr>
        <w:spacing w:line="256" w:lineRule="auto"/>
        <w:rPr>
          <w:rFonts w:ascii="Arial" w:hAnsi="Arial" w:cs="Arial"/>
        </w:rPr>
      </w:pPr>
      <w:r w:rsidRPr="004C5EE8">
        <w:rPr>
          <w:rFonts w:ascii="Arial" w:hAnsi="Arial" w:cs="Arial"/>
        </w:rPr>
        <w:t>¿Es responsabilidad de las empresas multinacionales apoyar al desarrollo económico y social de los países en los que operan, mucho más allá del pago de impuestos?</w:t>
      </w:r>
    </w:p>
    <w:p w14:paraId="59CE567F" w14:textId="5B47EC93" w:rsidR="0FC63640" w:rsidRDefault="0FC63640" w:rsidP="0FC63640">
      <w:pPr>
        <w:pStyle w:val="Prrafodelista"/>
        <w:ind w:left="1440"/>
      </w:pPr>
    </w:p>
    <w:p w14:paraId="7BC9B699" w14:textId="077B3185" w:rsidR="0FC63640" w:rsidRDefault="0FC63640" w:rsidP="0FC63640"/>
    <w:sectPr w:rsidR="0FC63640" w:rsidSect="008A61D0">
      <w:headerReference w:type="default" r:id="rId13"/>
      <w:footerReference w:type="default" r:id="rId14"/>
      <w:pgSz w:w="11906" w:h="16838"/>
      <w:pgMar w:top="1417" w:right="1701" w:bottom="1417" w:left="170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B8ACE" w14:textId="77777777" w:rsidR="00DC2898" w:rsidRDefault="00DC2898" w:rsidP="001B2354">
      <w:pPr>
        <w:spacing w:after="0" w:line="240" w:lineRule="auto"/>
      </w:pPr>
      <w:r>
        <w:separator/>
      </w:r>
    </w:p>
  </w:endnote>
  <w:endnote w:type="continuationSeparator" w:id="0">
    <w:p w14:paraId="0A0F761A" w14:textId="77777777" w:rsidR="00DC2898" w:rsidRDefault="00DC2898" w:rsidP="001B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r(--font-family-segoe)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C758410" w14:paraId="15B35418" w14:textId="77777777" w:rsidTr="4C758410">
      <w:tc>
        <w:tcPr>
          <w:tcW w:w="2830" w:type="dxa"/>
        </w:tcPr>
        <w:p w14:paraId="01985A61" w14:textId="5AF5939E" w:rsidR="4C758410" w:rsidRDefault="4C758410" w:rsidP="4C758410">
          <w:pPr>
            <w:pStyle w:val="Encabezado"/>
            <w:ind w:left="-115"/>
          </w:pPr>
        </w:p>
      </w:tc>
      <w:tc>
        <w:tcPr>
          <w:tcW w:w="2830" w:type="dxa"/>
        </w:tcPr>
        <w:p w14:paraId="704BD09D" w14:textId="046E4D21" w:rsidR="4C758410" w:rsidRDefault="4C758410" w:rsidP="4C758410">
          <w:pPr>
            <w:pStyle w:val="Encabezado"/>
            <w:jc w:val="center"/>
          </w:pPr>
        </w:p>
      </w:tc>
      <w:tc>
        <w:tcPr>
          <w:tcW w:w="2830" w:type="dxa"/>
        </w:tcPr>
        <w:p w14:paraId="0F6B83AD" w14:textId="52990501" w:rsidR="4C758410" w:rsidRDefault="4C758410" w:rsidP="4C758410">
          <w:pPr>
            <w:pStyle w:val="Encabezado"/>
            <w:ind w:right="-115"/>
            <w:jc w:val="right"/>
          </w:pPr>
        </w:p>
      </w:tc>
    </w:tr>
  </w:tbl>
  <w:p w14:paraId="0213C34B" w14:textId="759AB604" w:rsidR="4C758410" w:rsidRDefault="4C758410" w:rsidP="4C7584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542B1" w14:textId="77777777" w:rsidR="00DC2898" w:rsidRDefault="00DC2898" w:rsidP="001B2354">
      <w:pPr>
        <w:spacing w:after="0" w:line="240" w:lineRule="auto"/>
      </w:pPr>
      <w:r>
        <w:separator/>
      </w:r>
    </w:p>
  </w:footnote>
  <w:footnote w:type="continuationSeparator" w:id="0">
    <w:p w14:paraId="4120C999" w14:textId="77777777" w:rsidR="00DC2898" w:rsidRDefault="00DC2898" w:rsidP="001B2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224" w:type="dxa"/>
      <w:tblLayout w:type="fixed"/>
      <w:tblLook w:val="06A0" w:firstRow="1" w:lastRow="0" w:firstColumn="1" w:lastColumn="0" w:noHBand="1" w:noVBand="1"/>
    </w:tblPr>
    <w:tblGrid>
      <w:gridCol w:w="2741"/>
      <w:gridCol w:w="5224"/>
      <w:gridCol w:w="259"/>
    </w:tblGrid>
    <w:tr w:rsidR="4C758410" w14:paraId="4ADCC4E9" w14:textId="77777777" w:rsidTr="0FC63640">
      <w:trPr>
        <w:trHeight w:val="905"/>
      </w:trPr>
      <w:tc>
        <w:tcPr>
          <w:tcW w:w="2741" w:type="dxa"/>
        </w:tcPr>
        <w:p w14:paraId="080E463D" w14:textId="2EDBEC0B" w:rsidR="4C758410" w:rsidRDefault="4C758410" w:rsidP="008A61D0">
          <w:pPr>
            <w:pStyle w:val="Encabezado"/>
          </w:pPr>
          <w:r>
            <w:rPr>
              <w:noProof/>
            </w:rPr>
            <w:drawing>
              <wp:inline distT="0" distB="0" distL="0" distR="0" wp14:anchorId="284C34D2" wp14:editId="423DCDE8">
                <wp:extent cx="958362" cy="958362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4387" cy="9643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4" w:type="dxa"/>
        </w:tcPr>
        <w:p w14:paraId="643B3104" w14:textId="16BA11CA" w:rsidR="4C758410" w:rsidRDefault="0FC63640" w:rsidP="0FC63640">
          <w:pPr>
            <w:jc w:val="center"/>
            <w:rPr>
              <w:rFonts w:ascii="Calibri" w:eastAsia="Calibri" w:hAnsi="Calibri" w:cs="Calibri"/>
              <w:color w:val="000000" w:themeColor="text1"/>
            </w:rPr>
          </w:pPr>
          <w:r w:rsidRPr="0FC63640">
            <w:rPr>
              <w:rFonts w:ascii="Calibri" w:eastAsia="Calibri" w:hAnsi="Calibri" w:cs="Calibri"/>
              <w:b/>
              <w:bCs/>
              <w:color w:val="000000" w:themeColor="text1"/>
            </w:rPr>
            <w:t>Metodología para la Investigación Social II</w:t>
          </w:r>
        </w:p>
        <w:p w14:paraId="387CEDBE" w14:textId="4BD6E6D1" w:rsidR="4C758410" w:rsidRDefault="0FC63640" w:rsidP="0FC63640">
          <w:pPr>
            <w:jc w:val="center"/>
            <w:rPr>
              <w:rFonts w:ascii="Calibri" w:eastAsia="Calibri" w:hAnsi="Calibri" w:cs="Calibri"/>
              <w:color w:val="000000" w:themeColor="text1"/>
            </w:rPr>
          </w:pPr>
          <w:r w:rsidRPr="0FC63640">
            <w:rPr>
              <w:rFonts w:ascii="Calibri" w:eastAsia="Calibri" w:hAnsi="Calibri" w:cs="Calibri"/>
              <w:b/>
              <w:bCs/>
              <w:color w:val="000000" w:themeColor="text1"/>
            </w:rPr>
            <w:t>Trimestre 24-P</w:t>
          </w:r>
        </w:p>
        <w:p w14:paraId="1F34BB05" w14:textId="4EED033A" w:rsidR="4C758410" w:rsidRDefault="4C758410" w:rsidP="1720E394">
          <w:pPr>
            <w:jc w:val="center"/>
          </w:pPr>
        </w:p>
      </w:tc>
      <w:tc>
        <w:tcPr>
          <w:tcW w:w="259" w:type="dxa"/>
        </w:tcPr>
        <w:p w14:paraId="0B30ACB3" w14:textId="28D3CBA6" w:rsidR="4C758410" w:rsidRDefault="4C758410" w:rsidP="4C758410">
          <w:pPr>
            <w:pStyle w:val="Encabezado"/>
            <w:ind w:right="-115"/>
            <w:jc w:val="right"/>
          </w:pPr>
        </w:p>
      </w:tc>
    </w:tr>
  </w:tbl>
  <w:p w14:paraId="28BA2297" w14:textId="3A6CE9B4" w:rsidR="4C758410" w:rsidRDefault="4C758410" w:rsidP="4C7584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9A52"/>
    <w:multiLevelType w:val="hybridMultilevel"/>
    <w:tmpl w:val="E32819FC"/>
    <w:lvl w:ilvl="0" w:tplc="228469E0">
      <w:start w:val="1"/>
      <w:numFmt w:val="decimal"/>
      <w:lvlText w:val="%1."/>
      <w:lvlJc w:val="left"/>
      <w:pPr>
        <w:ind w:left="720" w:hanging="360"/>
      </w:pPr>
    </w:lvl>
    <w:lvl w:ilvl="1" w:tplc="4CD26356">
      <w:start w:val="1"/>
      <w:numFmt w:val="lowerLetter"/>
      <w:lvlText w:val="%2."/>
      <w:lvlJc w:val="left"/>
      <w:pPr>
        <w:ind w:left="1440" w:hanging="360"/>
      </w:pPr>
    </w:lvl>
    <w:lvl w:ilvl="2" w:tplc="62FE423A">
      <w:start w:val="1"/>
      <w:numFmt w:val="lowerRoman"/>
      <w:lvlText w:val="%3."/>
      <w:lvlJc w:val="right"/>
      <w:pPr>
        <w:ind w:left="2160" w:hanging="180"/>
      </w:pPr>
    </w:lvl>
    <w:lvl w:ilvl="3" w:tplc="22EE5A92">
      <w:start w:val="1"/>
      <w:numFmt w:val="decimal"/>
      <w:lvlText w:val="%4."/>
      <w:lvlJc w:val="left"/>
      <w:pPr>
        <w:ind w:left="2880" w:hanging="360"/>
      </w:pPr>
    </w:lvl>
    <w:lvl w:ilvl="4" w:tplc="FE161FDA">
      <w:start w:val="1"/>
      <w:numFmt w:val="lowerLetter"/>
      <w:lvlText w:val="%5."/>
      <w:lvlJc w:val="left"/>
      <w:pPr>
        <w:ind w:left="3600" w:hanging="360"/>
      </w:pPr>
    </w:lvl>
    <w:lvl w:ilvl="5" w:tplc="631476CA">
      <w:start w:val="1"/>
      <w:numFmt w:val="lowerRoman"/>
      <w:lvlText w:val="%6."/>
      <w:lvlJc w:val="right"/>
      <w:pPr>
        <w:ind w:left="4320" w:hanging="180"/>
      </w:pPr>
    </w:lvl>
    <w:lvl w:ilvl="6" w:tplc="99F25862">
      <w:start w:val="1"/>
      <w:numFmt w:val="decimal"/>
      <w:lvlText w:val="%7."/>
      <w:lvlJc w:val="left"/>
      <w:pPr>
        <w:ind w:left="5040" w:hanging="360"/>
      </w:pPr>
    </w:lvl>
    <w:lvl w:ilvl="7" w:tplc="05FCDE90">
      <w:start w:val="1"/>
      <w:numFmt w:val="lowerLetter"/>
      <w:lvlText w:val="%8."/>
      <w:lvlJc w:val="left"/>
      <w:pPr>
        <w:ind w:left="5760" w:hanging="360"/>
      </w:pPr>
    </w:lvl>
    <w:lvl w:ilvl="8" w:tplc="DE5641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718F4"/>
    <w:multiLevelType w:val="hybridMultilevel"/>
    <w:tmpl w:val="E9F60582"/>
    <w:lvl w:ilvl="0" w:tplc="9CF27A62">
      <w:start w:val="1"/>
      <w:numFmt w:val="decimal"/>
      <w:lvlText w:val="%1."/>
      <w:lvlJc w:val="left"/>
      <w:pPr>
        <w:ind w:left="720" w:hanging="360"/>
      </w:pPr>
    </w:lvl>
    <w:lvl w:ilvl="1" w:tplc="9782E47A">
      <w:start w:val="1"/>
      <w:numFmt w:val="lowerLetter"/>
      <w:lvlText w:val="%2."/>
      <w:lvlJc w:val="left"/>
      <w:pPr>
        <w:ind w:left="1440" w:hanging="360"/>
      </w:pPr>
    </w:lvl>
    <w:lvl w:ilvl="2" w:tplc="A8AC3F76">
      <w:start w:val="1"/>
      <w:numFmt w:val="lowerRoman"/>
      <w:lvlText w:val="%3."/>
      <w:lvlJc w:val="right"/>
      <w:pPr>
        <w:ind w:left="2160" w:hanging="180"/>
      </w:pPr>
    </w:lvl>
    <w:lvl w:ilvl="3" w:tplc="E89EB3DE">
      <w:start w:val="1"/>
      <w:numFmt w:val="decimal"/>
      <w:lvlText w:val="%4."/>
      <w:lvlJc w:val="left"/>
      <w:pPr>
        <w:ind w:left="2880" w:hanging="360"/>
      </w:pPr>
    </w:lvl>
    <w:lvl w:ilvl="4" w:tplc="E08CDC52">
      <w:start w:val="1"/>
      <w:numFmt w:val="lowerLetter"/>
      <w:lvlText w:val="%5."/>
      <w:lvlJc w:val="left"/>
      <w:pPr>
        <w:ind w:left="3600" w:hanging="360"/>
      </w:pPr>
    </w:lvl>
    <w:lvl w:ilvl="5" w:tplc="B4081324">
      <w:start w:val="1"/>
      <w:numFmt w:val="lowerRoman"/>
      <w:lvlText w:val="%6."/>
      <w:lvlJc w:val="right"/>
      <w:pPr>
        <w:ind w:left="4320" w:hanging="180"/>
      </w:pPr>
    </w:lvl>
    <w:lvl w:ilvl="6" w:tplc="911C89A6">
      <w:start w:val="1"/>
      <w:numFmt w:val="decimal"/>
      <w:lvlText w:val="%7."/>
      <w:lvlJc w:val="left"/>
      <w:pPr>
        <w:ind w:left="5040" w:hanging="360"/>
      </w:pPr>
    </w:lvl>
    <w:lvl w:ilvl="7" w:tplc="1466CF02">
      <w:start w:val="1"/>
      <w:numFmt w:val="lowerLetter"/>
      <w:lvlText w:val="%8."/>
      <w:lvlJc w:val="left"/>
      <w:pPr>
        <w:ind w:left="5760" w:hanging="360"/>
      </w:pPr>
    </w:lvl>
    <w:lvl w:ilvl="8" w:tplc="091832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B1EF9"/>
    <w:multiLevelType w:val="hybridMultilevel"/>
    <w:tmpl w:val="EA06801C"/>
    <w:lvl w:ilvl="0" w:tplc="1C706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2E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B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E6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6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181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42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E8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2A8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0F158"/>
    <w:multiLevelType w:val="hybridMultilevel"/>
    <w:tmpl w:val="800CB48C"/>
    <w:lvl w:ilvl="0" w:tplc="12B63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08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BE9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84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C1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667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07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47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03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D453B"/>
    <w:multiLevelType w:val="multilevel"/>
    <w:tmpl w:val="45B24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DA5BBB"/>
    <w:multiLevelType w:val="hybridMultilevel"/>
    <w:tmpl w:val="652A705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EA23C9"/>
    <w:multiLevelType w:val="multilevel"/>
    <w:tmpl w:val="177C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520446"/>
    <w:multiLevelType w:val="hybridMultilevel"/>
    <w:tmpl w:val="CA6AEAC6"/>
    <w:lvl w:ilvl="0" w:tplc="63F4E3BE">
      <w:start w:val="1"/>
      <w:numFmt w:val="decimal"/>
      <w:lvlText w:val="%1."/>
      <w:lvlJc w:val="left"/>
      <w:pPr>
        <w:ind w:left="720" w:hanging="360"/>
      </w:pPr>
    </w:lvl>
    <w:lvl w:ilvl="1" w:tplc="8AB23380">
      <w:start w:val="1"/>
      <w:numFmt w:val="upperRoman"/>
      <w:lvlText w:val="%2."/>
      <w:lvlJc w:val="right"/>
      <w:pPr>
        <w:ind w:left="1440" w:hanging="360"/>
      </w:pPr>
    </w:lvl>
    <w:lvl w:ilvl="2" w:tplc="346EE82E">
      <w:start w:val="1"/>
      <w:numFmt w:val="lowerRoman"/>
      <w:lvlText w:val="%3."/>
      <w:lvlJc w:val="right"/>
      <w:pPr>
        <w:ind w:left="2160" w:hanging="180"/>
      </w:pPr>
    </w:lvl>
    <w:lvl w:ilvl="3" w:tplc="E2521164">
      <w:start w:val="1"/>
      <w:numFmt w:val="decimal"/>
      <w:lvlText w:val="%4."/>
      <w:lvlJc w:val="left"/>
      <w:pPr>
        <w:ind w:left="2880" w:hanging="360"/>
      </w:pPr>
    </w:lvl>
    <w:lvl w:ilvl="4" w:tplc="78C0CB04">
      <w:start w:val="1"/>
      <w:numFmt w:val="lowerLetter"/>
      <w:lvlText w:val="%5."/>
      <w:lvlJc w:val="left"/>
      <w:pPr>
        <w:ind w:left="3600" w:hanging="360"/>
      </w:pPr>
    </w:lvl>
    <w:lvl w:ilvl="5" w:tplc="FB906EFE">
      <w:start w:val="1"/>
      <w:numFmt w:val="lowerRoman"/>
      <w:lvlText w:val="%6."/>
      <w:lvlJc w:val="right"/>
      <w:pPr>
        <w:ind w:left="4320" w:hanging="180"/>
      </w:pPr>
    </w:lvl>
    <w:lvl w:ilvl="6" w:tplc="81D09A6E">
      <w:start w:val="1"/>
      <w:numFmt w:val="decimal"/>
      <w:lvlText w:val="%7."/>
      <w:lvlJc w:val="left"/>
      <w:pPr>
        <w:ind w:left="5040" w:hanging="360"/>
      </w:pPr>
    </w:lvl>
    <w:lvl w:ilvl="7" w:tplc="0FA0DED8">
      <w:start w:val="1"/>
      <w:numFmt w:val="lowerLetter"/>
      <w:lvlText w:val="%8."/>
      <w:lvlJc w:val="left"/>
      <w:pPr>
        <w:ind w:left="5760" w:hanging="360"/>
      </w:pPr>
    </w:lvl>
    <w:lvl w:ilvl="8" w:tplc="88AEE3F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7B56"/>
    <w:multiLevelType w:val="hybridMultilevel"/>
    <w:tmpl w:val="DF6CB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D90"/>
    <w:multiLevelType w:val="hybridMultilevel"/>
    <w:tmpl w:val="932A35D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9595966">
    <w:abstractNumId w:val="3"/>
  </w:num>
  <w:num w:numId="2" w16cid:durableId="1999072687">
    <w:abstractNumId w:val="7"/>
  </w:num>
  <w:num w:numId="3" w16cid:durableId="1361780983">
    <w:abstractNumId w:val="0"/>
  </w:num>
  <w:num w:numId="4" w16cid:durableId="761487383">
    <w:abstractNumId w:val="1"/>
  </w:num>
  <w:num w:numId="5" w16cid:durableId="2054111395">
    <w:abstractNumId w:val="2"/>
  </w:num>
  <w:num w:numId="6" w16cid:durableId="1630554513">
    <w:abstractNumId w:val="8"/>
  </w:num>
  <w:num w:numId="7" w16cid:durableId="1812553722">
    <w:abstractNumId w:val="6"/>
  </w:num>
  <w:num w:numId="8" w16cid:durableId="446122747">
    <w:abstractNumId w:val="5"/>
  </w:num>
  <w:num w:numId="9" w16cid:durableId="392813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07703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297095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322758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821216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70430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54"/>
    <w:rsid w:val="0003202B"/>
    <w:rsid w:val="0003352F"/>
    <w:rsid w:val="00041298"/>
    <w:rsid w:val="0004462F"/>
    <w:rsid w:val="0009687A"/>
    <w:rsid w:val="0009772C"/>
    <w:rsid w:val="000D3F4A"/>
    <w:rsid w:val="000E4DB7"/>
    <w:rsid w:val="001508D3"/>
    <w:rsid w:val="001776C5"/>
    <w:rsid w:val="00194814"/>
    <w:rsid w:val="001A7683"/>
    <w:rsid w:val="001B2354"/>
    <w:rsid w:val="00201C0F"/>
    <w:rsid w:val="002B5CCB"/>
    <w:rsid w:val="002F26C2"/>
    <w:rsid w:val="00303ED5"/>
    <w:rsid w:val="00317540"/>
    <w:rsid w:val="00337ABC"/>
    <w:rsid w:val="00354348"/>
    <w:rsid w:val="0036686E"/>
    <w:rsid w:val="003A7E2F"/>
    <w:rsid w:val="003C3A9B"/>
    <w:rsid w:val="00481A18"/>
    <w:rsid w:val="004B3965"/>
    <w:rsid w:val="004C5EE8"/>
    <w:rsid w:val="004D00AE"/>
    <w:rsid w:val="00587D3F"/>
    <w:rsid w:val="005E127B"/>
    <w:rsid w:val="005E633A"/>
    <w:rsid w:val="00604B1A"/>
    <w:rsid w:val="00606F3B"/>
    <w:rsid w:val="00642832"/>
    <w:rsid w:val="006A1B73"/>
    <w:rsid w:val="00701EA3"/>
    <w:rsid w:val="0071340F"/>
    <w:rsid w:val="007454D5"/>
    <w:rsid w:val="0075016C"/>
    <w:rsid w:val="00765211"/>
    <w:rsid w:val="00796C7A"/>
    <w:rsid w:val="007C3910"/>
    <w:rsid w:val="007F58D6"/>
    <w:rsid w:val="007F6C7F"/>
    <w:rsid w:val="008061F4"/>
    <w:rsid w:val="00864807"/>
    <w:rsid w:val="008A61D0"/>
    <w:rsid w:val="008C7E26"/>
    <w:rsid w:val="008F31E7"/>
    <w:rsid w:val="00901AF8"/>
    <w:rsid w:val="00923B66"/>
    <w:rsid w:val="00932232"/>
    <w:rsid w:val="00970CCC"/>
    <w:rsid w:val="00A100E3"/>
    <w:rsid w:val="00A34E14"/>
    <w:rsid w:val="00A45F2C"/>
    <w:rsid w:val="00A6098D"/>
    <w:rsid w:val="00A87FC2"/>
    <w:rsid w:val="00A92DCF"/>
    <w:rsid w:val="00AA3CB5"/>
    <w:rsid w:val="00AB36F3"/>
    <w:rsid w:val="00B05B44"/>
    <w:rsid w:val="00B91059"/>
    <w:rsid w:val="00B924A0"/>
    <w:rsid w:val="00BB0D95"/>
    <w:rsid w:val="00C80DA3"/>
    <w:rsid w:val="00C84CF2"/>
    <w:rsid w:val="00C860EB"/>
    <w:rsid w:val="00C96B31"/>
    <w:rsid w:val="00CAA21A"/>
    <w:rsid w:val="00CB70F4"/>
    <w:rsid w:val="00CC52D1"/>
    <w:rsid w:val="00CC5440"/>
    <w:rsid w:val="00CE39C9"/>
    <w:rsid w:val="00D50F40"/>
    <w:rsid w:val="00DB7186"/>
    <w:rsid w:val="00DC2898"/>
    <w:rsid w:val="00E107B5"/>
    <w:rsid w:val="00E14872"/>
    <w:rsid w:val="00E344E2"/>
    <w:rsid w:val="00E34F37"/>
    <w:rsid w:val="00E359DA"/>
    <w:rsid w:val="00E36C77"/>
    <w:rsid w:val="00E76D3F"/>
    <w:rsid w:val="00EC6555"/>
    <w:rsid w:val="00EF55A2"/>
    <w:rsid w:val="00F14FCE"/>
    <w:rsid w:val="00F16CA6"/>
    <w:rsid w:val="00F2770C"/>
    <w:rsid w:val="00FE25FB"/>
    <w:rsid w:val="011EE919"/>
    <w:rsid w:val="01413F9F"/>
    <w:rsid w:val="014334C8"/>
    <w:rsid w:val="01C8D959"/>
    <w:rsid w:val="01DB8824"/>
    <w:rsid w:val="023D6C18"/>
    <w:rsid w:val="0249185B"/>
    <w:rsid w:val="02D4B623"/>
    <w:rsid w:val="030C55A7"/>
    <w:rsid w:val="0333D135"/>
    <w:rsid w:val="03363623"/>
    <w:rsid w:val="033B305F"/>
    <w:rsid w:val="0466769A"/>
    <w:rsid w:val="047B1196"/>
    <w:rsid w:val="050DB312"/>
    <w:rsid w:val="054BB5AA"/>
    <w:rsid w:val="0553997F"/>
    <w:rsid w:val="0581D1E7"/>
    <w:rsid w:val="0583082F"/>
    <w:rsid w:val="064EA55B"/>
    <w:rsid w:val="0657C902"/>
    <w:rsid w:val="07CED384"/>
    <w:rsid w:val="0883566C"/>
    <w:rsid w:val="08BD4009"/>
    <w:rsid w:val="08DD2013"/>
    <w:rsid w:val="08E878D5"/>
    <w:rsid w:val="096433A0"/>
    <w:rsid w:val="09C697FA"/>
    <w:rsid w:val="09E6BBC9"/>
    <w:rsid w:val="09F01491"/>
    <w:rsid w:val="0A0248E8"/>
    <w:rsid w:val="0A4AEF06"/>
    <w:rsid w:val="0A82345E"/>
    <w:rsid w:val="0AD5B81E"/>
    <w:rsid w:val="0BF836A8"/>
    <w:rsid w:val="0C396C0C"/>
    <w:rsid w:val="0C6A9AFC"/>
    <w:rsid w:val="0CA0EAFA"/>
    <w:rsid w:val="0D27B553"/>
    <w:rsid w:val="0D613474"/>
    <w:rsid w:val="0D6BD599"/>
    <w:rsid w:val="0DF2A9D8"/>
    <w:rsid w:val="0DFF6ABC"/>
    <w:rsid w:val="0ECF40DD"/>
    <w:rsid w:val="0EF7CD87"/>
    <w:rsid w:val="0F3E85F2"/>
    <w:rsid w:val="0FC63640"/>
    <w:rsid w:val="107E5C6A"/>
    <w:rsid w:val="10B65862"/>
    <w:rsid w:val="10F0500F"/>
    <w:rsid w:val="11D483D3"/>
    <w:rsid w:val="11EDF7F2"/>
    <w:rsid w:val="1229AA05"/>
    <w:rsid w:val="123E781C"/>
    <w:rsid w:val="126143A6"/>
    <w:rsid w:val="12DDA5A2"/>
    <w:rsid w:val="1300DC58"/>
    <w:rsid w:val="13235027"/>
    <w:rsid w:val="13842869"/>
    <w:rsid w:val="14201E32"/>
    <w:rsid w:val="14F4ADB9"/>
    <w:rsid w:val="152CE3F0"/>
    <w:rsid w:val="1542A99B"/>
    <w:rsid w:val="161FB7DF"/>
    <w:rsid w:val="162F2720"/>
    <w:rsid w:val="1639F259"/>
    <w:rsid w:val="1666088F"/>
    <w:rsid w:val="16A6AE36"/>
    <w:rsid w:val="1720E394"/>
    <w:rsid w:val="17B489BE"/>
    <w:rsid w:val="183311CB"/>
    <w:rsid w:val="185EB231"/>
    <w:rsid w:val="18DA73BF"/>
    <w:rsid w:val="19155581"/>
    <w:rsid w:val="19307BCE"/>
    <w:rsid w:val="193C39E9"/>
    <w:rsid w:val="197C634F"/>
    <w:rsid w:val="1A9AD9AB"/>
    <w:rsid w:val="1B447999"/>
    <w:rsid w:val="1B6B2954"/>
    <w:rsid w:val="1B7AB95D"/>
    <w:rsid w:val="1BBA666C"/>
    <w:rsid w:val="1BBFDE49"/>
    <w:rsid w:val="1BCE728C"/>
    <w:rsid w:val="1CE0FEE4"/>
    <w:rsid w:val="1CE8CEA7"/>
    <w:rsid w:val="1DB58448"/>
    <w:rsid w:val="1E45290A"/>
    <w:rsid w:val="1F3CB780"/>
    <w:rsid w:val="1F3FC6AE"/>
    <w:rsid w:val="1F6096B0"/>
    <w:rsid w:val="1F9A9082"/>
    <w:rsid w:val="1FB5411D"/>
    <w:rsid w:val="1FE35650"/>
    <w:rsid w:val="2019728D"/>
    <w:rsid w:val="2019FC22"/>
    <w:rsid w:val="20BD54D8"/>
    <w:rsid w:val="214243A7"/>
    <w:rsid w:val="21AA7F30"/>
    <w:rsid w:val="226367B4"/>
    <w:rsid w:val="22A13845"/>
    <w:rsid w:val="22A1E103"/>
    <w:rsid w:val="22C589F6"/>
    <w:rsid w:val="22E02AB6"/>
    <w:rsid w:val="234AD756"/>
    <w:rsid w:val="2365A1E4"/>
    <w:rsid w:val="23CEF9D2"/>
    <w:rsid w:val="246BAF1C"/>
    <w:rsid w:val="24AE509A"/>
    <w:rsid w:val="24D029B1"/>
    <w:rsid w:val="25168872"/>
    <w:rsid w:val="253034B5"/>
    <w:rsid w:val="254D2B75"/>
    <w:rsid w:val="25622DA0"/>
    <w:rsid w:val="25743A34"/>
    <w:rsid w:val="25B6F5B8"/>
    <w:rsid w:val="2609833E"/>
    <w:rsid w:val="2710F0A3"/>
    <w:rsid w:val="2722F34F"/>
    <w:rsid w:val="27238072"/>
    <w:rsid w:val="27462E40"/>
    <w:rsid w:val="277FEB88"/>
    <w:rsid w:val="2793A0FF"/>
    <w:rsid w:val="27EF1068"/>
    <w:rsid w:val="28698D17"/>
    <w:rsid w:val="28BF50D3"/>
    <w:rsid w:val="28E516D5"/>
    <w:rsid w:val="28F401DE"/>
    <w:rsid w:val="28F8E087"/>
    <w:rsid w:val="296AEC5B"/>
    <w:rsid w:val="2A2A39D5"/>
    <w:rsid w:val="2A3C312E"/>
    <w:rsid w:val="2A3E3B56"/>
    <w:rsid w:val="2AA6C4EE"/>
    <w:rsid w:val="2BA7D28A"/>
    <w:rsid w:val="2C07D700"/>
    <w:rsid w:val="2C4C0BB4"/>
    <w:rsid w:val="2C501FCB"/>
    <w:rsid w:val="2C6597C4"/>
    <w:rsid w:val="2CCD32A3"/>
    <w:rsid w:val="2D2D7816"/>
    <w:rsid w:val="2DC10AF2"/>
    <w:rsid w:val="2E28659D"/>
    <w:rsid w:val="2E74FB76"/>
    <w:rsid w:val="2E81C0D6"/>
    <w:rsid w:val="2E8C8975"/>
    <w:rsid w:val="2EA21D1D"/>
    <w:rsid w:val="2F15CFA9"/>
    <w:rsid w:val="2F5D77BF"/>
    <w:rsid w:val="2F64073F"/>
    <w:rsid w:val="3146DE02"/>
    <w:rsid w:val="31B26FBF"/>
    <w:rsid w:val="31E6BA23"/>
    <w:rsid w:val="321DE7F8"/>
    <w:rsid w:val="32455B0A"/>
    <w:rsid w:val="326DB023"/>
    <w:rsid w:val="332F963A"/>
    <w:rsid w:val="336EE409"/>
    <w:rsid w:val="33742459"/>
    <w:rsid w:val="3374254A"/>
    <w:rsid w:val="33B20394"/>
    <w:rsid w:val="33D67156"/>
    <w:rsid w:val="347A9DFB"/>
    <w:rsid w:val="35166412"/>
    <w:rsid w:val="357241B7"/>
    <w:rsid w:val="363F875A"/>
    <w:rsid w:val="37207BDF"/>
    <w:rsid w:val="3795FC25"/>
    <w:rsid w:val="37B599E6"/>
    <w:rsid w:val="37C002C5"/>
    <w:rsid w:val="37C91E65"/>
    <w:rsid w:val="37CA34A5"/>
    <w:rsid w:val="37D38A46"/>
    <w:rsid w:val="381EEFFE"/>
    <w:rsid w:val="3834C599"/>
    <w:rsid w:val="38578B20"/>
    <w:rsid w:val="38A9E279"/>
    <w:rsid w:val="38ABE113"/>
    <w:rsid w:val="392035D5"/>
    <w:rsid w:val="393218DF"/>
    <w:rsid w:val="395BD326"/>
    <w:rsid w:val="396129C0"/>
    <w:rsid w:val="3968FB97"/>
    <w:rsid w:val="396D974B"/>
    <w:rsid w:val="3988410D"/>
    <w:rsid w:val="39FBEC66"/>
    <w:rsid w:val="3A2E8036"/>
    <w:rsid w:val="3A4EDCB8"/>
    <w:rsid w:val="3A588E55"/>
    <w:rsid w:val="3A86F791"/>
    <w:rsid w:val="3BDAB2E8"/>
    <w:rsid w:val="3BF15665"/>
    <w:rsid w:val="3C32A7C4"/>
    <w:rsid w:val="3C67F3D3"/>
    <w:rsid w:val="3C845EC6"/>
    <w:rsid w:val="3D5C2C7B"/>
    <w:rsid w:val="3E669A78"/>
    <w:rsid w:val="3E80F0A0"/>
    <w:rsid w:val="3EA9EE19"/>
    <w:rsid w:val="3EB089D8"/>
    <w:rsid w:val="3F8E70D4"/>
    <w:rsid w:val="3FB122FF"/>
    <w:rsid w:val="3FFA80D2"/>
    <w:rsid w:val="3FFC0628"/>
    <w:rsid w:val="40026AD9"/>
    <w:rsid w:val="4009C8CB"/>
    <w:rsid w:val="40481DE9"/>
    <w:rsid w:val="407F8FFC"/>
    <w:rsid w:val="40E2EDFF"/>
    <w:rsid w:val="4134D74C"/>
    <w:rsid w:val="414CF360"/>
    <w:rsid w:val="41ECD95F"/>
    <w:rsid w:val="41F5D7E1"/>
    <w:rsid w:val="42150C06"/>
    <w:rsid w:val="425E5073"/>
    <w:rsid w:val="42E8C3C1"/>
    <w:rsid w:val="42FA4935"/>
    <w:rsid w:val="43023452"/>
    <w:rsid w:val="43351369"/>
    <w:rsid w:val="4344833F"/>
    <w:rsid w:val="43C85BCA"/>
    <w:rsid w:val="44065F4A"/>
    <w:rsid w:val="44500624"/>
    <w:rsid w:val="447F339A"/>
    <w:rsid w:val="44816181"/>
    <w:rsid w:val="44D9997D"/>
    <w:rsid w:val="45021086"/>
    <w:rsid w:val="45886581"/>
    <w:rsid w:val="45AD9DB6"/>
    <w:rsid w:val="45E0EF2D"/>
    <w:rsid w:val="464C5E43"/>
    <w:rsid w:val="46CF2590"/>
    <w:rsid w:val="46E6F723"/>
    <w:rsid w:val="46F5770B"/>
    <w:rsid w:val="47174B8B"/>
    <w:rsid w:val="476D0438"/>
    <w:rsid w:val="47704576"/>
    <w:rsid w:val="4830B12C"/>
    <w:rsid w:val="488E61C7"/>
    <w:rsid w:val="4890DFD6"/>
    <w:rsid w:val="496CB8ED"/>
    <w:rsid w:val="496D30DF"/>
    <w:rsid w:val="496DF7E0"/>
    <w:rsid w:val="498A59CE"/>
    <w:rsid w:val="49A14F1E"/>
    <w:rsid w:val="4A1E97E5"/>
    <w:rsid w:val="4A20874B"/>
    <w:rsid w:val="4A5504DC"/>
    <w:rsid w:val="4A563413"/>
    <w:rsid w:val="4A7A2D4F"/>
    <w:rsid w:val="4AEBAE37"/>
    <w:rsid w:val="4B08894E"/>
    <w:rsid w:val="4B396666"/>
    <w:rsid w:val="4BF7F59D"/>
    <w:rsid w:val="4C22FB56"/>
    <w:rsid w:val="4C758410"/>
    <w:rsid w:val="4C864518"/>
    <w:rsid w:val="4C8D1556"/>
    <w:rsid w:val="4CAB8F91"/>
    <w:rsid w:val="4CC7C584"/>
    <w:rsid w:val="4D7CA496"/>
    <w:rsid w:val="4DA71A3E"/>
    <w:rsid w:val="4DB4FEFA"/>
    <w:rsid w:val="4DCBDB47"/>
    <w:rsid w:val="4DEC93E7"/>
    <w:rsid w:val="4E87F75E"/>
    <w:rsid w:val="4E893032"/>
    <w:rsid w:val="4E8AF723"/>
    <w:rsid w:val="4EA73572"/>
    <w:rsid w:val="4EF263C4"/>
    <w:rsid w:val="4F82E752"/>
    <w:rsid w:val="4FC35D10"/>
    <w:rsid w:val="4FFC0D42"/>
    <w:rsid w:val="50431B30"/>
    <w:rsid w:val="5053C6E2"/>
    <w:rsid w:val="506E9BF6"/>
    <w:rsid w:val="50956F8F"/>
    <w:rsid w:val="510686A2"/>
    <w:rsid w:val="513F4413"/>
    <w:rsid w:val="51476CEC"/>
    <w:rsid w:val="5197DDA3"/>
    <w:rsid w:val="51B81C85"/>
    <w:rsid w:val="51D8BE7A"/>
    <w:rsid w:val="51F164C3"/>
    <w:rsid w:val="5215EDE8"/>
    <w:rsid w:val="52673721"/>
    <w:rsid w:val="528AF1CE"/>
    <w:rsid w:val="52A1D6C1"/>
    <w:rsid w:val="52BC506F"/>
    <w:rsid w:val="531B3D8A"/>
    <w:rsid w:val="537475A6"/>
    <w:rsid w:val="5394803B"/>
    <w:rsid w:val="53949FE7"/>
    <w:rsid w:val="53ACE378"/>
    <w:rsid w:val="54005169"/>
    <w:rsid w:val="5426C22F"/>
    <w:rsid w:val="5475D321"/>
    <w:rsid w:val="54796820"/>
    <w:rsid w:val="54BC8363"/>
    <w:rsid w:val="54C1E297"/>
    <w:rsid w:val="54D92163"/>
    <w:rsid w:val="54DD5380"/>
    <w:rsid w:val="54F2E063"/>
    <w:rsid w:val="55290585"/>
    <w:rsid w:val="555392CC"/>
    <w:rsid w:val="556435BD"/>
    <w:rsid w:val="557EA9F2"/>
    <w:rsid w:val="55AD2D1F"/>
    <w:rsid w:val="55C035AB"/>
    <w:rsid w:val="55CBAF06"/>
    <w:rsid w:val="56AD42B7"/>
    <w:rsid w:val="56C4B512"/>
    <w:rsid w:val="57F38FEA"/>
    <w:rsid w:val="580E5DE5"/>
    <w:rsid w:val="582E6B37"/>
    <w:rsid w:val="58AFC6D8"/>
    <w:rsid w:val="58E8649C"/>
    <w:rsid w:val="596DB22A"/>
    <w:rsid w:val="59B0C4A3"/>
    <w:rsid w:val="5A5F4B9D"/>
    <w:rsid w:val="5A94408B"/>
    <w:rsid w:val="5AB2CBE0"/>
    <w:rsid w:val="5AD544A5"/>
    <w:rsid w:val="5B645C9B"/>
    <w:rsid w:val="5B90676B"/>
    <w:rsid w:val="5BD1333B"/>
    <w:rsid w:val="5C60D2E2"/>
    <w:rsid w:val="5D02BCB2"/>
    <w:rsid w:val="5D1C850E"/>
    <w:rsid w:val="5D8B7A42"/>
    <w:rsid w:val="5DA1B3FB"/>
    <w:rsid w:val="5DB188B6"/>
    <w:rsid w:val="5E201D8F"/>
    <w:rsid w:val="5E449643"/>
    <w:rsid w:val="5E9D0781"/>
    <w:rsid w:val="5ED7405E"/>
    <w:rsid w:val="5F658C78"/>
    <w:rsid w:val="5F89D202"/>
    <w:rsid w:val="5FC1DD3E"/>
    <w:rsid w:val="5FD2C688"/>
    <w:rsid w:val="5FE24961"/>
    <w:rsid w:val="5FE28D90"/>
    <w:rsid w:val="601F232D"/>
    <w:rsid w:val="6037CDBE"/>
    <w:rsid w:val="6047573D"/>
    <w:rsid w:val="60A35F09"/>
    <w:rsid w:val="60ACABF4"/>
    <w:rsid w:val="6116D625"/>
    <w:rsid w:val="6205737C"/>
    <w:rsid w:val="626BD17C"/>
    <w:rsid w:val="6302D6E4"/>
    <w:rsid w:val="6357A6E9"/>
    <w:rsid w:val="63789DAC"/>
    <w:rsid w:val="63A143DD"/>
    <w:rsid w:val="63A8FA9C"/>
    <w:rsid w:val="6424EEAA"/>
    <w:rsid w:val="642E1A71"/>
    <w:rsid w:val="648D194A"/>
    <w:rsid w:val="64E648A5"/>
    <w:rsid w:val="653D143E"/>
    <w:rsid w:val="65A9E372"/>
    <w:rsid w:val="65BD3118"/>
    <w:rsid w:val="6601876F"/>
    <w:rsid w:val="6679D163"/>
    <w:rsid w:val="6690769B"/>
    <w:rsid w:val="66B63A74"/>
    <w:rsid w:val="66D8E49F"/>
    <w:rsid w:val="66E66115"/>
    <w:rsid w:val="6707FAEE"/>
    <w:rsid w:val="6874B500"/>
    <w:rsid w:val="68A9EEB1"/>
    <w:rsid w:val="68D58F17"/>
    <w:rsid w:val="6971D7B8"/>
    <w:rsid w:val="6A0C9A8F"/>
    <w:rsid w:val="6A56C000"/>
    <w:rsid w:val="6AB41503"/>
    <w:rsid w:val="6AE67A02"/>
    <w:rsid w:val="6B44A30D"/>
    <w:rsid w:val="6C9F3B4C"/>
    <w:rsid w:val="6D0A61AC"/>
    <w:rsid w:val="6D72069F"/>
    <w:rsid w:val="6DD5CBE6"/>
    <w:rsid w:val="6DD99644"/>
    <w:rsid w:val="6DE9F29D"/>
    <w:rsid w:val="6E1BF651"/>
    <w:rsid w:val="6E4B48C2"/>
    <w:rsid w:val="6E6D237C"/>
    <w:rsid w:val="6EA46A70"/>
    <w:rsid w:val="6EB269BB"/>
    <w:rsid w:val="6EF47F12"/>
    <w:rsid w:val="6F14ABEB"/>
    <w:rsid w:val="6F3D19AC"/>
    <w:rsid w:val="6F48DEA9"/>
    <w:rsid w:val="708CB594"/>
    <w:rsid w:val="710C7463"/>
    <w:rsid w:val="71235687"/>
    <w:rsid w:val="71CD4B4A"/>
    <w:rsid w:val="72250265"/>
    <w:rsid w:val="723B4E27"/>
    <w:rsid w:val="729014AC"/>
    <w:rsid w:val="729A6BC6"/>
    <w:rsid w:val="72AE06C8"/>
    <w:rsid w:val="72BF26E8"/>
    <w:rsid w:val="736EDCB3"/>
    <w:rsid w:val="74123199"/>
    <w:rsid w:val="7461DC3E"/>
    <w:rsid w:val="748AAEFF"/>
    <w:rsid w:val="750ACA04"/>
    <w:rsid w:val="75344905"/>
    <w:rsid w:val="7547EA1D"/>
    <w:rsid w:val="75B27731"/>
    <w:rsid w:val="75B3F4D8"/>
    <w:rsid w:val="762AF51F"/>
    <w:rsid w:val="76ADA793"/>
    <w:rsid w:val="772C2FA0"/>
    <w:rsid w:val="7787E615"/>
    <w:rsid w:val="779A5D58"/>
    <w:rsid w:val="78C7443F"/>
    <w:rsid w:val="798990B9"/>
    <w:rsid w:val="7A06614F"/>
    <w:rsid w:val="7A5D4095"/>
    <w:rsid w:val="7B5F0CAA"/>
    <w:rsid w:val="7BC065BB"/>
    <w:rsid w:val="7C4511DA"/>
    <w:rsid w:val="7C6DCE7B"/>
    <w:rsid w:val="7C7735E2"/>
    <w:rsid w:val="7CC01E4D"/>
    <w:rsid w:val="7D0E2134"/>
    <w:rsid w:val="7D1C4FCD"/>
    <w:rsid w:val="7D3B917B"/>
    <w:rsid w:val="7D4D0F16"/>
    <w:rsid w:val="7D5EFD71"/>
    <w:rsid w:val="7D77F649"/>
    <w:rsid w:val="7D789D44"/>
    <w:rsid w:val="7DF73515"/>
    <w:rsid w:val="7E6A2C46"/>
    <w:rsid w:val="7E875107"/>
    <w:rsid w:val="7ED4E951"/>
    <w:rsid w:val="7EEA5D10"/>
    <w:rsid w:val="7F13C6AA"/>
    <w:rsid w:val="7F276F97"/>
    <w:rsid w:val="7F3332D3"/>
    <w:rsid w:val="7FA28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CA4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354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03ED5"/>
    <w:rPr>
      <w:color w:val="605E5C"/>
      <w:shd w:val="clear" w:color="auto" w:fill="E1DFDD"/>
    </w:rPr>
  </w:style>
  <w:style w:type="character" w:styleId="Referenciaintensa">
    <w:name w:val="Intense Reference"/>
    <w:basedOn w:val="Fuentedeprrafopredeter"/>
    <w:uiPriority w:val="32"/>
    <w:qFormat/>
    <w:rsid w:val="00923B66"/>
    <w:rPr>
      <w:b/>
      <w:bCs/>
      <w:smallCaps/>
      <w:color w:val="4472C4" w:themeColor="accent1"/>
      <w:spacing w:val="5"/>
    </w:rPr>
  </w:style>
  <w:style w:type="character" w:customStyle="1" w:styleId="x1lliihq">
    <w:name w:val="x1lliihq"/>
    <w:basedOn w:val="Fuentedeprrafopredeter"/>
    <w:rsid w:val="00A92DCF"/>
  </w:style>
  <w:style w:type="character" w:customStyle="1" w:styleId="x193iq5w">
    <w:name w:val="x193iq5w"/>
    <w:basedOn w:val="Fuentedeprrafopredeter"/>
    <w:rsid w:val="00A92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25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78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85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5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51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00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0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tuami.izt.uam.mx/aulas/avmacca/pluginfile.php/113883/mod_resource/content/2/Primera%20evaluaci%C3%B3n%20parcial%20-%20Caso%20de%20estudio_Acciones-afirmativas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m/news/business-3538113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egislation.gov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jn.gob.mx/sites/default/files/derechos_humanos/articulosdh/documentos/2016-12/PRINCIPIO%20DE%20PARIDAD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1C617-9B15-4A29-AC28-A3601F59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2024-11-28T12:46:00Z</dcterms:created>
  <dcterms:modified xsi:type="dcterms:W3CDTF">2024-11-28T12:46:00Z</dcterms:modified>
</cp:coreProperties>
</file>