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5184" w14:textId="71741645" w:rsidR="4C758410" w:rsidRDefault="4C758410" w:rsidP="00336809"/>
    <w:p w14:paraId="6265676E" w14:textId="2CB29BC1" w:rsidR="5E9D0781" w:rsidRDefault="5E9D0781" w:rsidP="0FC63640">
      <w:pPr>
        <w:spacing w:after="0"/>
        <w:jc w:val="right"/>
        <w:rPr>
          <w:b/>
          <w:bCs/>
          <w:u w:val="single"/>
        </w:rPr>
      </w:pPr>
      <w:r w:rsidRPr="0FC63640">
        <w:rPr>
          <w:b/>
          <w:bCs/>
        </w:rPr>
        <w:t>Apellidos, Nombre(s):</w:t>
      </w:r>
      <w:r w:rsidRPr="0FC63640">
        <w:rPr>
          <w:b/>
          <w:bCs/>
          <w:u w:val="single"/>
        </w:rPr>
        <w:t xml:space="preserve">    </w:t>
      </w:r>
      <w:r w:rsidR="00A07BD1">
        <w:rPr>
          <w:b/>
          <w:bCs/>
          <w:u w:val="single"/>
        </w:rPr>
        <w:t>Morales Reyes Claudia Gabrielle</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48EEBD51" w14:textId="0420836B" w:rsidR="0A0248E8" w:rsidRDefault="0A0248E8" w:rsidP="0FC63640">
      <w:r>
        <w:t xml:space="preserve">En esta guía de caso deberás incluir los siguientes elementos: 1. Pregunta de investigación, 2. Título del caso, 3. </w:t>
      </w:r>
      <w:r w:rsidR="7FA2823D">
        <w:t>Descripción del caso, 4.</w:t>
      </w:r>
      <w:r>
        <w:t xml:space="preserve"> Lista de materiales </w:t>
      </w:r>
      <w:r w:rsidR="25622DA0">
        <w:t>complementarios</w:t>
      </w:r>
      <w:r w:rsidR="39FBEC66">
        <w:t xml:space="preserve"> y 5. Preguntas sobre el caso</w:t>
      </w:r>
      <w:r w:rsidR="25622DA0">
        <w:t>.</w:t>
      </w:r>
      <w:r>
        <w:br/>
      </w:r>
    </w:p>
    <w:p w14:paraId="345274AB" w14:textId="77777777" w:rsidR="00337D23" w:rsidRDefault="27EF1068" w:rsidP="0FC63640">
      <w:pPr>
        <w:pStyle w:val="Prrafodelista"/>
        <w:numPr>
          <w:ilvl w:val="0"/>
          <w:numId w:val="2"/>
        </w:numPr>
      </w:pPr>
      <w:r>
        <w:t>Señala tu pregunta de investigación</w:t>
      </w:r>
      <w:r w:rsidR="54005169">
        <w:t xml:space="preserve"> </w:t>
      </w:r>
    </w:p>
    <w:p w14:paraId="677516A1" w14:textId="77777777" w:rsidR="00A07BD1" w:rsidRDefault="00A07BD1" w:rsidP="00337D23">
      <w:pPr>
        <w:pStyle w:val="Prrafodelista"/>
        <w:rPr>
          <w:b/>
          <w:bCs/>
          <w:sz w:val="23"/>
          <w:szCs w:val="23"/>
        </w:rPr>
      </w:pPr>
    </w:p>
    <w:p w14:paraId="344A2DA7" w14:textId="739CF522" w:rsidR="27EF1068" w:rsidRDefault="00A07BD1" w:rsidP="00337D23">
      <w:pPr>
        <w:pStyle w:val="Prrafodelista"/>
        <w:rPr>
          <w:b/>
          <w:bCs/>
          <w:sz w:val="23"/>
          <w:szCs w:val="23"/>
        </w:rPr>
      </w:pPr>
      <w:r>
        <w:rPr>
          <w:b/>
          <w:bCs/>
          <w:sz w:val="23"/>
          <w:szCs w:val="23"/>
        </w:rPr>
        <w:t>¿Como influyen los institutos electorales en las organizaciones de autogobierno?</w:t>
      </w:r>
    </w:p>
    <w:p w14:paraId="57CD99AF" w14:textId="77777777" w:rsidR="00A07BD1" w:rsidRDefault="00A07BD1" w:rsidP="00337D23">
      <w:pPr>
        <w:pStyle w:val="Prrafodelista"/>
      </w:pPr>
    </w:p>
    <w:p w14:paraId="763D0A99" w14:textId="11F2134E" w:rsidR="00337D23" w:rsidRDefault="6116D625" w:rsidP="00A07BD1">
      <w:pPr>
        <w:pStyle w:val="Prrafodelista"/>
        <w:numPr>
          <w:ilvl w:val="0"/>
          <w:numId w:val="2"/>
        </w:numPr>
      </w:pPr>
      <w:r>
        <w:t>Indica el título del caso que presentarás</w:t>
      </w:r>
    </w:p>
    <w:p w14:paraId="04D21C53" w14:textId="77777777" w:rsidR="00A07BD1" w:rsidRDefault="00A07BD1" w:rsidP="00A07BD1">
      <w:pPr>
        <w:pStyle w:val="Prrafodelista"/>
      </w:pPr>
    </w:p>
    <w:p w14:paraId="2C13227A" w14:textId="751E5ABD" w:rsidR="00A07BD1" w:rsidRDefault="00A07BD1" w:rsidP="00A07BD1">
      <w:pPr>
        <w:ind w:left="708"/>
        <w:rPr>
          <w:b/>
          <w:bCs/>
        </w:rPr>
      </w:pPr>
      <w:r w:rsidRPr="00A07BD1">
        <w:rPr>
          <w:b/>
          <w:bCs/>
        </w:rPr>
        <w:t>Mujeres y autogobierno en un territorio indígena: Oaxaca, México</w:t>
      </w:r>
    </w:p>
    <w:p w14:paraId="1D58D2D5" w14:textId="77777777" w:rsidR="00A07BD1" w:rsidRPr="00A07BD1" w:rsidRDefault="00A07BD1" w:rsidP="00A07BD1">
      <w:pPr>
        <w:ind w:left="708"/>
        <w:rPr>
          <w:b/>
          <w:bCs/>
        </w:rPr>
      </w:pPr>
    </w:p>
    <w:p w14:paraId="56C0F5F3" w14:textId="2DEA5EE5" w:rsidR="35166412" w:rsidRDefault="35166412" w:rsidP="0FC63640">
      <w:pPr>
        <w:pStyle w:val="Prrafodelista"/>
        <w:numPr>
          <w:ilvl w:val="0"/>
          <w:numId w:val="2"/>
        </w:numPr>
      </w:pPr>
      <w:r>
        <w:t>Describe el caso de forma detallada</w:t>
      </w:r>
      <w:r w:rsidR="19155581">
        <w:t xml:space="preserve"> (</w:t>
      </w:r>
      <w:r w:rsidR="24AE509A">
        <w:t>actores involucrados,</w:t>
      </w:r>
      <w:r w:rsidR="1229AA05">
        <w:t xml:space="preserve"> </w:t>
      </w:r>
      <w:r w:rsidR="19155581">
        <w:t>temporalidad, ubicación geográfica, relevancia,</w:t>
      </w:r>
      <w:r w:rsidR="0F3E85F2">
        <w:t xml:space="preserve"> </w:t>
      </w:r>
      <w:r w:rsidR="19155581">
        <w:t>etc</w:t>
      </w:r>
      <w:r w:rsidR="3988410D">
        <w:t>.</w:t>
      </w:r>
      <w:r w:rsidR="19155581">
        <w:t>)</w:t>
      </w:r>
      <w:r w:rsidR="2BA7D28A">
        <w:t xml:space="preserve"> </w:t>
      </w:r>
    </w:p>
    <w:p w14:paraId="067DC9B2" w14:textId="77777777" w:rsidR="00231A90" w:rsidRDefault="00231A90" w:rsidP="00231A90">
      <w:pPr>
        <w:pStyle w:val="Prrafodelista"/>
      </w:pPr>
    </w:p>
    <w:p w14:paraId="0A413843" w14:textId="7B3BD058" w:rsidR="00251655" w:rsidRPr="006D3401" w:rsidRDefault="00251655" w:rsidP="006D3401">
      <w:pPr>
        <w:ind w:left="360"/>
        <w:rPr>
          <w:b/>
          <w:bCs/>
        </w:rPr>
      </w:pPr>
      <w:r w:rsidRPr="006D3401">
        <w:rPr>
          <w:b/>
          <w:bCs/>
        </w:rPr>
        <w:t xml:space="preserve">El reconocimiento de los Usos y Costumbres como forma de autogobierno en los municipios de Oaxaca, México, es un logro importante para los pueblos indígenas. Sin embargo, aún queda pendiente incorporar </w:t>
      </w:r>
      <w:r w:rsidRPr="006D3401">
        <w:rPr>
          <w:b/>
          <w:bCs/>
        </w:rPr>
        <w:t>muchas necesidades de las zonas de autogobierno en torno a derechos humanos, paridad, o acuerdos económicos que les favorezca</w:t>
      </w:r>
      <w:r w:rsidRPr="006D3401">
        <w:rPr>
          <w:b/>
          <w:bCs/>
        </w:rPr>
        <w:t>. E</w:t>
      </w:r>
      <w:r w:rsidRPr="006D3401">
        <w:rPr>
          <w:b/>
          <w:bCs/>
        </w:rPr>
        <w:t>n e</w:t>
      </w:r>
      <w:r w:rsidRPr="006D3401">
        <w:rPr>
          <w:b/>
          <w:bCs/>
        </w:rPr>
        <w:t>ste</w:t>
      </w:r>
      <w:r w:rsidRPr="006D3401">
        <w:rPr>
          <w:b/>
          <w:bCs/>
        </w:rPr>
        <w:t xml:space="preserve"> </w:t>
      </w:r>
      <w:r w:rsidRPr="006D3401">
        <w:rPr>
          <w:b/>
          <w:bCs/>
        </w:rPr>
        <w:t xml:space="preserve">texto </w:t>
      </w:r>
      <w:r w:rsidRPr="006D3401">
        <w:rPr>
          <w:b/>
          <w:bCs/>
        </w:rPr>
        <w:t>analizaremos</w:t>
      </w:r>
      <w:r w:rsidRPr="006D3401">
        <w:rPr>
          <w:b/>
          <w:bCs/>
        </w:rPr>
        <w:t xml:space="preserve"> dos </w:t>
      </w:r>
      <w:r w:rsidRPr="006D3401">
        <w:rPr>
          <w:b/>
          <w:bCs/>
        </w:rPr>
        <w:t>enfoques</w:t>
      </w:r>
      <w:r w:rsidRPr="006D3401">
        <w:rPr>
          <w:b/>
          <w:bCs/>
        </w:rPr>
        <w:t xml:space="preserve">: 1) analizar los factores que contribuyen a la destitución </w:t>
      </w:r>
      <w:r w:rsidRPr="006D3401">
        <w:rPr>
          <w:b/>
          <w:bCs/>
        </w:rPr>
        <w:t>de poderes con enfoque en paridad de género</w:t>
      </w:r>
      <w:r w:rsidRPr="006D3401">
        <w:rPr>
          <w:b/>
          <w:bCs/>
        </w:rPr>
        <w:t>; 2) identificar l</w:t>
      </w:r>
      <w:r w:rsidRPr="006D3401">
        <w:rPr>
          <w:b/>
          <w:bCs/>
        </w:rPr>
        <w:t xml:space="preserve">a relación con órganos de regulación gubernamental  </w:t>
      </w:r>
    </w:p>
    <w:p w14:paraId="13177532" w14:textId="77777777" w:rsidR="00251655" w:rsidRPr="006D3401" w:rsidRDefault="00251655" w:rsidP="006D3401">
      <w:pPr>
        <w:ind w:left="360"/>
        <w:rPr>
          <w:b/>
          <w:bCs/>
        </w:rPr>
      </w:pPr>
      <w:r w:rsidRPr="006D3401">
        <w:rPr>
          <w:b/>
          <w:bCs/>
        </w:rPr>
        <w:t xml:space="preserve">Se realizaron entrevistas con todas las presidentas electas en un periodo de 10 años (1999-2009). </w:t>
      </w:r>
      <w:r w:rsidRPr="006D3401">
        <w:rPr>
          <w:b/>
          <w:bCs/>
        </w:rPr>
        <w:t>Y s</w:t>
      </w:r>
      <w:r w:rsidRPr="006D3401">
        <w:rPr>
          <w:b/>
          <w:bCs/>
        </w:rPr>
        <w:t xml:space="preserve">e identificaron tres actores que intervienen en la permanencia o destitución del cargo: la asamblea, el ayuntamiento y los partidos políticos. </w:t>
      </w:r>
    </w:p>
    <w:p w14:paraId="73EC01FF" w14:textId="508923E9" w:rsidR="00251655" w:rsidRPr="006D3401" w:rsidRDefault="00251655" w:rsidP="006D3401">
      <w:pPr>
        <w:ind w:left="360"/>
        <w:rPr>
          <w:b/>
          <w:bCs/>
        </w:rPr>
      </w:pPr>
      <w:r w:rsidRPr="006D3401">
        <w:rPr>
          <w:b/>
          <w:bCs/>
        </w:rPr>
        <w:t>P</w:t>
      </w:r>
      <w:r w:rsidRPr="006D3401">
        <w:rPr>
          <w:b/>
          <w:bCs/>
        </w:rPr>
        <w:t xml:space="preserve">ara adquirir legitimidad; negociar carpetas de gobierno con integrantes del ayuntamiento; gestionar recursos y establecer lazos cercanos con el gobernador del estado. </w:t>
      </w:r>
      <w:r w:rsidRPr="006D3401">
        <w:rPr>
          <w:b/>
          <w:bCs/>
        </w:rPr>
        <w:t xml:space="preserve">La relevancia </w:t>
      </w:r>
      <w:proofErr w:type="spellStart"/>
      <w:r w:rsidRPr="006D3401">
        <w:rPr>
          <w:b/>
          <w:bCs/>
        </w:rPr>
        <w:t>esta</w:t>
      </w:r>
      <w:proofErr w:type="spellEnd"/>
      <w:r w:rsidRPr="006D3401">
        <w:rPr>
          <w:b/>
          <w:bCs/>
        </w:rPr>
        <w:t xml:space="preserve"> en abordar</w:t>
      </w:r>
      <w:r w:rsidRPr="006D3401">
        <w:rPr>
          <w:b/>
          <w:bCs/>
        </w:rPr>
        <w:t xml:space="preserve"> las dinámicas de poder en los municipios indígenas gobernados por Usos y Costumbres en Oaxaca. Explora cómo estos actores institucionales y tradicionales interactúan y afectan la inclusión de mujeres en posiciones de liderazgo dentro de los sistemas de autogobierno. Además, examina cómo los institutos electorales y los partidos políticos influyen en estos procesos</w:t>
      </w:r>
      <w:r w:rsidRPr="006D3401">
        <w:rPr>
          <w:b/>
          <w:bCs/>
        </w:rPr>
        <w:t>.</w:t>
      </w:r>
    </w:p>
    <w:p w14:paraId="6D5C94A7" w14:textId="311B6C93" w:rsidR="00251655" w:rsidRPr="006D3401" w:rsidRDefault="00251655" w:rsidP="006D3401">
      <w:pPr>
        <w:ind w:left="360"/>
        <w:rPr>
          <w:b/>
          <w:bCs/>
        </w:rPr>
      </w:pPr>
      <w:r w:rsidRPr="006D3401">
        <w:rPr>
          <w:b/>
          <w:bCs/>
        </w:rPr>
        <w:t xml:space="preserve">El artículo presenta parte de los resultados del proyecto de investigación titulado Usos y Costumbres y Derechos Humanos de las mujeres. Hablan las presidentas municipales de </w:t>
      </w:r>
      <w:r w:rsidRPr="006D3401">
        <w:rPr>
          <w:b/>
          <w:bCs/>
        </w:rPr>
        <w:lastRenderedPageBreak/>
        <w:t>Oaxaca, 1996-2010, financiado por el Instituto Nacional de las Mujeres y el Consejo Nacional de Ciencia y Tecnología de México</w:t>
      </w:r>
    </w:p>
    <w:p w14:paraId="5BB6E815" w14:textId="176940AE" w:rsidR="006D3401" w:rsidRPr="006D3401" w:rsidRDefault="006D3401" w:rsidP="006D3401">
      <w:pPr>
        <w:ind w:left="360"/>
        <w:rPr>
          <w:b/>
          <w:bCs/>
        </w:rPr>
      </w:pPr>
      <w:r w:rsidRPr="006D3401">
        <w:rPr>
          <w:b/>
          <w:bCs/>
        </w:rPr>
        <w:t xml:space="preserve">A través de un contexto en el que es relativamente fácil empatizar por la visualización que se </w:t>
      </w:r>
      <w:proofErr w:type="gramStart"/>
      <w:r w:rsidRPr="006D3401">
        <w:rPr>
          <w:b/>
          <w:bCs/>
        </w:rPr>
        <w:t>le</w:t>
      </w:r>
      <w:proofErr w:type="gramEnd"/>
      <w:r w:rsidRPr="006D3401">
        <w:rPr>
          <w:b/>
          <w:bCs/>
        </w:rPr>
        <w:t xml:space="preserve"> ha dado a los problemas de violencia de género se analiza la necesidad de regulación de sistemas que pueden ser moralmente cuestionables, pero sistemáticamente funcionales, donde el objetivo es encontrar las normativas que se adapten al respeto de la identidad cultural, respetando los derechos humanos y democráticos del pueblo mexicano.</w:t>
      </w:r>
    </w:p>
    <w:p w14:paraId="14FF0FD5" w14:textId="77777777" w:rsidR="00251655" w:rsidRDefault="00251655" w:rsidP="004D453C"/>
    <w:p w14:paraId="4A116C17" w14:textId="7DE0FFB4" w:rsidR="277FEB88" w:rsidRDefault="277FEB88" w:rsidP="0FC63640">
      <w:pPr>
        <w:pStyle w:val="Prrafodelista"/>
        <w:numPr>
          <w:ilvl w:val="0"/>
          <w:numId w:val="2"/>
        </w:numPr>
      </w:pPr>
      <w:r>
        <w:t xml:space="preserve">Proporciona una lista de los materiales </w:t>
      </w:r>
      <w:r w:rsidR="1B447999">
        <w:t>complementarios</w:t>
      </w:r>
      <w:r>
        <w:t xml:space="preserve"> que sugieres para conocer más del caso</w:t>
      </w:r>
      <w:r w:rsidR="08DD2013" w:rsidRPr="0FC63640">
        <w:t>.</w:t>
      </w:r>
    </w:p>
    <w:p w14:paraId="675C012C" w14:textId="77777777" w:rsidR="002832FF" w:rsidRDefault="002832FF" w:rsidP="002832FF">
      <w:pPr>
        <w:pStyle w:val="Prrafodelista"/>
      </w:pPr>
    </w:p>
    <w:p w14:paraId="5E06C15E" w14:textId="09D4A5AB" w:rsidR="00012DA5" w:rsidRDefault="00012DA5" w:rsidP="00012DA5">
      <w:pPr>
        <w:pStyle w:val="Prrafodelista"/>
        <w:numPr>
          <w:ilvl w:val="0"/>
          <w:numId w:val="9"/>
        </w:numPr>
        <w:rPr>
          <w:b/>
          <w:bCs/>
        </w:rPr>
      </w:pPr>
      <w:r w:rsidRPr="00012DA5">
        <w:rPr>
          <w:b/>
          <w:bCs/>
        </w:rPr>
        <w:t xml:space="preserve">Norma Carolina Ortega González. </w:t>
      </w:r>
      <w:r w:rsidR="002832FF" w:rsidRPr="00012DA5">
        <w:rPr>
          <w:b/>
          <w:bCs/>
        </w:rPr>
        <w:t xml:space="preserve">por Parte, D. la F. E. a. H. T., &amp; Sin Preguntar a, L. M. </w:t>
      </w:r>
      <w:proofErr w:type="spellStart"/>
      <w:r w:rsidR="002832FF" w:rsidRPr="00012DA5">
        <w:rPr>
          <w:b/>
          <w:bCs/>
        </w:rPr>
        <w:t>si</w:t>
      </w:r>
      <w:proofErr w:type="spellEnd"/>
      <w:r w:rsidR="002832FF" w:rsidRPr="00012DA5">
        <w:rPr>
          <w:b/>
          <w:bCs/>
        </w:rPr>
        <w:t xml:space="preserve"> se Q. C. (s/f-b). La mirada distraída. Los matrimonios forzados en las comunidades indígenas de México: ¿tradición cultural o violencia de género? Gob.mx. Recuperado el 20 de agosto de 2024, de </w:t>
      </w:r>
      <w:hyperlink r:id="rId8" w:history="1">
        <w:r w:rsidRPr="002C1B3F">
          <w:rPr>
            <w:rStyle w:val="Hipervnculo"/>
            <w:b/>
            <w:bCs/>
          </w:rPr>
          <w:t>https://www.scjn.gob.mx/sites/default/files/igualdad-genero/2017-05/2dolugarEnsayo2016.pdf</w:t>
        </w:r>
      </w:hyperlink>
    </w:p>
    <w:p w14:paraId="39D5052E" w14:textId="77777777" w:rsidR="00012DA5" w:rsidRDefault="00012DA5" w:rsidP="00012DA5">
      <w:pPr>
        <w:pStyle w:val="Prrafodelista"/>
        <w:rPr>
          <w:b/>
          <w:bCs/>
        </w:rPr>
      </w:pPr>
    </w:p>
    <w:p w14:paraId="4F9828DF" w14:textId="1F0C21A4" w:rsidR="002832FF" w:rsidRDefault="002832FF" w:rsidP="00012DA5">
      <w:pPr>
        <w:pStyle w:val="Prrafodelista"/>
        <w:numPr>
          <w:ilvl w:val="0"/>
          <w:numId w:val="9"/>
        </w:numPr>
        <w:rPr>
          <w:b/>
          <w:bCs/>
        </w:rPr>
      </w:pPr>
      <w:r w:rsidRPr="00012DA5">
        <w:rPr>
          <w:b/>
          <w:bCs/>
        </w:rPr>
        <w:t>Riquelme, L. A. D., &amp; León, G. A. (2019). Aplicación del matrimonio forzado en comunidades indígenas en México (2015-2019). DIKE, 0(26).</w:t>
      </w:r>
      <w:r w:rsidRPr="00012DA5">
        <w:rPr>
          <w:b/>
          <w:bCs/>
        </w:rPr>
        <w:t xml:space="preserve"> </w:t>
      </w:r>
      <w:hyperlink r:id="rId9" w:history="1">
        <w:r w:rsidR="00012DA5" w:rsidRPr="002C1B3F">
          <w:rPr>
            <w:rStyle w:val="Hipervnculo"/>
            <w:b/>
            <w:bCs/>
          </w:rPr>
          <w:t>http://www.apps.buap.mx/ojs3/index.php/dike/article/view/1251/1795</w:t>
        </w:r>
      </w:hyperlink>
    </w:p>
    <w:p w14:paraId="75028B61" w14:textId="77777777" w:rsidR="00166EF8" w:rsidRPr="00166EF8" w:rsidRDefault="00166EF8" w:rsidP="00166EF8">
      <w:pPr>
        <w:pStyle w:val="Prrafodelista"/>
        <w:rPr>
          <w:b/>
          <w:bCs/>
        </w:rPr>
      </w:pPr>
    </w:p>
    <w:p w14:paraId="7F085460" w14:textId="506BD55F" w:rsidR="00166EF8" w:rsidRPr="00166EF8" w:rsidRDefault="00166EF8" w:rsidP="00166EF8">
      <w:pPr>
        <w:pStyle w:val="Prrafodelista"/>
        <w:numPr>
          <w:ilvl w:val="0"/>
          <w:numId w:val="9"/>
        </w:numPr>
        <w:rPr>
          <w:b/>
          <w:bCs/>
        </w:rPr>
      </w:pPr>
      <w:r>
        <w:rPr>
          <w:b/>
          <w:bCs/>
        </w:rPr>
        <w:t>D</w:t>
      </w:r>
      <w:r w:rsidRPr="00166EF8">
        <w:rPr>
          <w:b/>
          <w:bCs/>
        </w:rPr>
        <w:t>e la Torre Rangel, J. A. (2019). Derecho insurgente y derechos humanos.: La defensa del territorio y la autonomía de comunidades indígenas mexicanas. Administración Pública y Sociedad (</w:t>
      </w:r>
      <w:proofErr w:type="spellStart"/>
      <w:r w:rsidRPr="00166EF8">
        <w:rPr>
          <w:b/>
          <w:bCs/>
        </w:rPr>
        <w:t>APyS</w:t>
      </w:r>
      <w:proofErr w:type="spellEnd"/>
      <w:r w:rsidRPr="00166EF8">
        <w:rPr>
          <w:b/>
          <w:bCs/>
        </w:rPr>
        <w:t xml:space="preserve">), 8, 198–217. </w:t>
      </w:r>
    </w:p>
    <w:p w14:paraId="2F735750" w14:textId="796EE71C" w:rsidR="00012DA5" w:rsidRDefault="00166EF8" w:rsidP="00166EF8">
      <w:pPr>
        <w:pStyle w:val="Prrafodelista"/>
        <w:rPr>
          <w:b/>
          <w:bCs/>
        </w:rPr>
      </w:pPr>
      <w:hyperlink r:id="rId10" w:history="1">
        <w:r w:rsidRPr="002C1B3F">
          <w:rPr>
            <w:rStyle w:val="Hipervnculo"/>
            <w:b/>
            <w:bCs/>
          </w:rPr>
          <w:t>https://revistas.unc.edu.ar/index.php/APyS/article/view/26812/28542</w:t>
        </w:r>
      </w:hyperlink>
    </w:p>
    <w:p w14:paraId="0FD4D8A8" w14:textId="77777777" w:rsidR="00166EF8" w:rsidRPr="00166EF8" w:rsidRDefault="00166EF8" w:rsidP="00166EF8">
      <w:pPr>
        <w:pStyle w:val="Prrafodelista"/>
        <w:rPr>
          <w:b/>
          <w:bCs/>
        </w:rPr>
      </w:pPr>
    </w:p>
    <w:p w14:paraId="683A0BC9" w14:textId="77777777" w:rsidR="00012DA5" w:rsidRPr="00012DA5" w:rsidRDefault="00012DA5" w:rsidP="00012DA5">
      <w:pPr>
        <w:pStyle w:val="Prrafodelista"/>
        <w:rPr>
          <w:b/>
          <w:bCs/>
        </w:rPr>
      </w:pPr>
    </w:p>
    <w:p w14:paraId="579F8B7C" w14:textId="71A6FD1B" w:rsidR="557EA9F2" w:rsidRDefault="557EA9F2" w:rsidP="0FC63640">
      <w:pPr>
        <w:pStyle w:val="Prrafodelista"/>
        <w:numPr>
          <w:ilvl w:val="0"/>
          <w:numId w:val="2"/>
        </w:numPr>
      </w:pPr>
      <w:r w:rsidRPr="0FC63640">
        <w:t>Señala las preguntas sobre el caso que deberán responder tus compañeros antes de clase.</w:t>
      </w:r>
    </w:p>
    <w:p w14:paraId="7BC9922B" w14:textId="4E26C38D" w:rsidR="00231A90" w:rsidRPr="004644D6" w:rsidRDefault="00166EF8" w:rsidP="00231A90">
      <w:pPr>
        <w:pStyle w:val="ListParagraph1"/>
        <w:numPr>
          <w:ilvl w:val="1"/>
          <w:numId w:val="2"/>
        </w:numPr>
        <w:rPr>
          <w:rFonts w:asciiTheme="minorHAnsi" w:hAnsiTheme="minorHAnsi" w:cstheme="minorHAnsi"/>
          <w:b/>
          <w:bCs/>
        </w:rPr>
      </w:pPr>
      <w:r w:rsidRPr="004644D6">
        <w:rPr>
          <w:rFonts w:asciiTheme="minorHAnsi" w:hAnsiTheme="minorHAnsi" w:cstheme="minorHAnsi"/>
          <w:b/>
          <w:bCs/>
        </w:rPr>
        <w:t>¿Cómo se define autogobierno?</w:t>
      </w:r>
    </w:p>
    <w:p w14:paraId="7EF96ABC" w14:textId="537B7AEB" w:rsidR="00231A90" w:rsidRPr="004644D6" w:rsidRDefault="00166EF8" w:rsidP="00231A90">
      <w:pPr>
        <w:pStyle w:val="ListParagraph1"/>
        <w:numPr>
          <w:ilvl w:val="1"/>
          <w:numId w:val="2"/>
        </w:numPr>
        <w:rPr>
          <w:rFonts w:asciiTheme="minorHAnsi" w:hAnsiTheme="minorHAnsi" w:cstheme="minorHAnsi"/>
          <w:b/>
          <w:bCs/>
        </w:rPr>
      </w:pPr>
      <w:r w:rsidRPr="004644D6">
        <w:rPr>
          <w:rFonts w:asciiTheme="minorHAnsi" w:hAnsiTheme="minorHAnsi" w:cstheme="minorHAnsi"/>
          <w:b/>
          <w:bCs/>
        </w:rPr>
        <w:t xml:space="preserve">Menciona algún contexto histórico del desarrollo de los autogobiernos </w:t>
      </w:r>
    </w:p>
    <w:p w14:paraId="65ABA01E" w14:textId="20A0F7D9" w:rsidR="00231A90" w:rsidRPr="004644D6" w:rsidRDefault="00D8241D"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rPr>
        <w:t>¿</w:t>
      </w:r>
      <w:r w:rsidR="00166EF8" w:rsidRPr="004644D6">
        <w:rPr>
          <w:rFonts w:asciiTheme="minorHAnsi" w:hAnsiTheme="minorHAnsi" w:cstheme="minorHAnsi"/>
          <w:b/>
          <w:bCs/>
        </w:rPr>
        <w:t>Cu</w:t>
      </w:r>
      <w:r w:rsidRPr="004644D6">
        <w:rPr>
          <w:rFonts w:asciiTheme="minorHAnsi" w:hAnsiTheme="minorHAnsi" w:cstheme="minorHAnsi"/>
          <w:b/>
          <w:bCs/>
        </w:rPr>
        <w:t>á</w:t>
      </w:r>
      <w:r w:rsidR="00166EF8" w:rsidRPr="004644D6">
        <w:rPr>
          <w:rFonts w:asciiTheme="minorHAnsi" w:hAnsiTheme="minorHAnsi" w:cstheme="minorHAnsi"/>
          <w:b/>
          <w:bCs/>
        </w:rPr>
        <w:t xml:space="preserve">l es la relevancia </w:t>
      </w:r>
      <w:r w:rsidRPr="004644D6">
        <w:rPr>
          <w:rFonts w:asciiTheme="minorHAnsi" w:hAnsiTheme="minorHAnsi" w:cstheme="minorHAnsi"/>
          <w:b/>
          <w:bCs/>
        </w:rPr>
        <w:t>de la identidad cultural en el sistema de usos y costumbres?</w:t>
      </w:r>
      <w:r w:rsidR="00231A90" w:rsidRPr="004644D6">
        <w:rPr>
          <w:rFonts w:asciiTheme="minorHAnsi" w:hAnsiTheme="minorHAnsi" w:cstheme="minorHAnsi"/>
          <w:b/>
          <w:bCs/>
        </w:rPr>
        <w:t xml:space="preserve"> </w:t>
      </w:r>
    </w:p>
    <w:p w14:paraId="70AF570E" w14:textId="6CF8617A" w:rsidR="00D8241D" w:rsidRPr="004644D6" w:rsidRDefault="00D8241D"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rPr>
        <w:t>¿</w:t>
      </w:r>
      <w:proofErr w:type="spellStart"/>
      <w:r w:rsidRPr="004644D6">
        <w:rPr>
          <w:rFonts w:asciiTheme="minorHAnsi" w:hAnsiTheme="minorHAnsi" w:cstheme="minorHAnsi"/>
          <w:b/>
          <w:bCs/>
        </w:rPr>
        <w:t>Que</w:t>
      </w:r>
      <w:proofErr w:type="spellEnd"/>
      <w:r w:rsidRPr="004644D6">
        <w:rPr>
          <w:rFonts w:asciiTheme="minorHAnsi" w:hAnsiTheme="minorHAnsi" w:cstheme="minorHAnsi"/>
          <w:b/>
          <w:bCs/>
        </w:rPr>
        <w:t xml:space="preserve"> se entiende por los términos </w:t>
      </w:r>
      <w:r w:rsidRPr="004644D6">
        <w:rPr>
          <w:rFonts w:asciiTheme="minorHAnsi" w:hAnsiTheme="minorHAnsi" w:cstheme="minorHAnsi"/>
          <w:b/>
          <w:bCs/>
          <w:shd w:val="clear" w:color="auto" w:fill="FFFFFF"/>
        </w:rPr>
        <w:t>“orden público” y “utilidad pública”</w:t>
      </w:r>
      <w:r w:rsidRPr="004644D6">
        <w:rPr>
          <w:rFonts w:asciiTheme="minorHAnsi" w:hAnsiTheme="minorHAnsi" w:cstheme="minorHAnsi"/>
          <w:b/>
          <w:bCs/>
          <w:shd w:val="clear" w:color="auto" w:fill="FFFFFF"/>
        </w:rPr>
        <w:t>?</w:t>
      </w:r>
    </w:p>
    <w:p w14:paraId="33DCDDB6" w14:textId="10A62B8D" w:rsidR="004644D6" w:rsidRPr="004644D6" w:rsidRDefault="004644D6" w:rsidP="00D8241D">
      <w:pPr>
        <w:pStyle w:val="ListParagraph1"/>
        <w:numPr>
          <w:ilvl w:val="1"/>
          <w:numId w:val="2"/>
        </w:numPr>
        <w:rPr>
          <w:rFonts w:asciiTheme="minorHAnsi" w:hAnsiTheme="minorHAnsi" w:cstheme="minorHAnsi"/>
          <w:b/>
          <w:bCs/>
        </w:rPr>
      </w:pPr>
      <w:r w:rsidRPr="004644D6">
        <w:rPr>
          <w:rFonts w:asciiTheme="minorHAnsi" w:hAnsiTheme="minorHAnsi" w:cstheme="minorHAnsi"/>
          <w:b/>
          <w:bCs/>
          <w:shd w:val="clear" w:color="auto" w:fill="FFFFFF"/>
        </w:rPr>
        <w:t>¿Qué se entiende por derecho insurgente?</w:t>
      </w:r>
    </w:p>
    <w:p w14:paraId="7BC9B699" w14:textId="077B3185" w:rsidR="0FC63640" w:rsidRDefault="0FC63640" w:rsidP="0FC63640"/>
    <w:sectPr w:rsidR="0FC63640" w:rsidSect="004D453C">
      <w:headerReference w:type="default" r:id="rId11"/>
      <w:footerReference w:type="default" r:id="rId12"/>
      <w:pgSz w:w="11906" w:h="16838"/>
      <w:pgMar w:top="1417" w:right="1701" w:bottom="993"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281B9" w14:textId="77777777" w:rsidR="004B6505" w:rsidRDefault="004B6505" w:rsidP="001B2354">
      <w:pPr>
        <w:spacing w:after="0" w:line="240" w:lineRule="auto"/>
      </w:pPr>
      <w:r>
        <w:separator/>
      </w:r>
    </w:p>
  </w:endnote>
  <w:endnote w:type="continuationSeparator" w:id="0">
    <w:p w14:paraId="19FA371A" w14:textId="77777777" w:rsidR="004B6505" w:rsidRDefault="004B6505" w:rsidP="001B2354">
      <w:pPr>
        <w:spacing w:after="0" w:line="240" w:lineRule="auto"/>
      </w:pPr>
      <w:r>
        <w:continuationSeparator/>
      </w:r>
    </w:p>
  </w:endnote>
  <w:endnote w:type="continuationNotice" w:id="1">
    <w:p w14:paraId="13C2C946" w14:textId="77777777" w:rsidR="004B6505" w:rsidRDefault="004B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D44E" w14:textId="77777777" w:rsidR="004B6505" w:rsidRDefault="004B6505" w:rsidP="001B2354">
      <w:pPr>
        <w:spacing w:after="0" w:line="240" w:lineRule="auto"/>
      </w:pPr>
      <w:r>
        <w:separator/>
      </w:r>
    </w:p>
  </w:footnote>
  <w:footnote w:type="continuationSeparator" w:id="0">
    <w:p w14:paraId="3671F21F" w14:textId="77777777" w:rsidR="004B6505" w:rsidRDefault="004B6505" w:rsidP="001B2354">
      <w:pPr>
        <w:spacing w:after="0" w:line="240" w:lineRule="auto"/>
      </w:pPr>
      <w:r>
        <w:continuationSeparator/>
      </w:r>
    </w:p>
  </w:footnote>
  <w:footnote w:type="continuationNotice" w:id="1">
    <w:p w14:paraId="74365555" w14:textId="77777777" w:rsidR="004B6505" w:rsidRDefault="004B6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rPr>
            <w:drawing>
              <wp:inline distT="0" distB="0" distL="0" distR="0" wp14:anchorId="284C34D2" wp14:editId="423DCDE8">
                <wp:extent cx="958362" cy="958362"/>
                <wp:effectExtent l="0" t="0" r="0" b="0"/>
                <wp:docPr id="876410678" name="Imagen 87641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4862BE6"/>
    <w:multiLevelType w:val="hybridMultilevel"/>
    <w:tmpl w:val="939A0F02"/>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3E70F158"/>
    <w:multiLevelType w:val="hybridMultilevel"/>
    <w:tmpl w:val="35D453C6"/>
    <w:lvl w:ilvl="0" w:tplc="2D7E9F30">
      <w:start w:val="1"/>
      <w:numFmt w:val="bullet"/>
      <w:lvlText w:val=""/>
      <w:lvlJc w:val="left"/>
      <w:pPr>
        <w:ind w:left="720" w:hanging="360"/>
      </w:pPr>
      <w:rPr>
        <w:rFonts w:ascii="Symbol" w:hAnsi="Symbol" w:hint="default"/>
      </w:rPr>
    </w:lvl>
    <w:lvl w:ilvl="1" w:tplc="A558A5B4">
      <w:start w:val="1"/>
      <w:numFmt w:val="bullet"/>
      <w:lvlText w:val="o"/>
      <w:lvlJc w:val="left"/>
      <w:pPr>
        <w:ind w:left="1440" w:hanging="360"/>
      </w:pPr>
      <w:rPr>
        <w:rFonts w:ascii="Courier New" w:hAnsi="Courier New" w:hint="default"/>
      </w:rPr>
    </w:lvl>
    <w:lvl w:ilvl="2" w:tplc="6758F782">
      <w:start w:val="1"/>
      <w:numFmt w:val="bullet"/>
      <w:lvlText w:val=""/>
      <w:lvlJc w:val="left"/>
      <w:pPr>
        <w:ind w:left="2160" w:hanging="360"/>
      </w:pPr>
      <w:rPr>
        <w:rFonts w:ascii="Wingdings" w:hAnsi="Wingdings" w:hint="default"/>
      </w:rPr>
    </w:lvl>
    <w:lvl w:ilvl="3" w:tplc="DB4CA308">
      <w:start w:val="1"/>
      <w:numFmt w:val="bullet"/>
      <w:lvlText w:val=""/>
      <w:lvlJc w:val="left"/>
      <w:pPr>
        <w:ind w:left="2880" w:hanging="360"/>
      </w:pPr>
      <w:rPr>
        <w:rFonts w:ascii="Symbol" w:hAnsi="Symbol" w:hint="default"/>
      </w:rPr>
    </w:lvl>
    <w:lvl w:ilvl="4" w:tplc="0594550E">
      <w:start w:val="1"/>
      <w:numFmt w:val="bullet"/>
      <w:lvlText w:val="o"/>
      <w:lvlJc w:val="left"/>
      <w:pPr>
        <w:ind w:left="3600" w:hanging="360"/>
      </w:pPr>
      <w:rPr>
        <w:rFonts w:ascii="Courier New" w:hAnsi="Courier New" w:hint="default"/>
      </w:rPr>
    </w:lvl>
    <w:lvl w:ilvl="5" w:tplc="67B2B846">
      <w:start w:val="1"/>
      <w:numFmt w:val="bullet"/>
      <w:lvlText w:val=""/>
      <w:lvlJc w:val="left"/>
      <w:pPr>
        <w:ind w:left="4320" w:hanging="360"/>
      </w:pPr>
      <w:rPr>
        <w:rFonts w:ascii="Wingdings" w:hAnsi="Wingdings" w:hint="default"/>
      </w:rPr>
    </w:lvl>
    <w:lvl w:ilvl="6" w:tplc="F3DCD694">
      <w:start w:val="1"/>
      <w:numFmt w:val="bullet"/>
      <w:lvlText w:val=""/>
      <w:lvlJc w:val="left"/>
      <w:pPr>
        <w:ind w:left="5040" w:hanging="360"/>
      </w:pPr>
      <w:rPr>
        <w:rFonts w:ascii="Symbol" w:hAnsi="Symbol" w:hint="default"/>
      </w:rPr>
    </w:lvl>
    <w:lvl w:ilvl="7" w:tplc="9CBED584">
      <w:start w:val="1"/>
      <w:numFmt w:val="bullet"/>
      <w:lvlText w:val="o"/>
      <w:lvlJc w:val="left"/>
      <w:pPr>
        <w:ind w:left="5760" w:hanging="360"/>
      </w:pPr>
      <w:rPr>
        <w:rFonts w:ascii="Courier New" w:hAnsi="Courier New" w:hint="default"/>
      </w:rPr>
    </w:lvl>
    <w:lvl w:ilvl="8" w:tplc="B7B2CB2C">
      <w:start w:val="1"/>
      <w:numFmt w:val="bullet"/>
      <w:lvlText w:val=""/>
      <w:lvlJc w:val="left"/>
      <w:pPr>
        <w:ind w:left="6480" w:hanging="360"/>
      </w:pPr>
      <w:rPr>
        <w:rFonts w:ascii="Wingdings" w:hAnsi="Wingdings" w:hint="default"/>
      </w:rPr>
    </w:lvl>
  </w:abstractNum>
  <w:abstractNum w:abstractNumId="5" w15:restartNumberingAfterBreak="0">
    <w:nsid w:val="5B7C5E8D"/>
    <w:multiLevelType w:val="multilevel"/>
    <w:tmpl w:val="3928FEC0"/>
    <w:lvl w:ilvl="0">
      <w:start w:val="1"/>
      <w:numFmt w:val="decimal"/>
      <w:lvlText w:val="%1."/>
      <w:lvlJc w:val="left"/>
      <w:pPr>
        <w:ind w:left="720" w:hanging="360"/>
      </w:pPr>
      <w:rPr>
        <w:rFonts w:ascii="Times New Roman" w:hAnsi="Times New Roman" w:cs="Times New Roman" w:hint="default"/>
      </w:rPr>
    </w:lvl>
    <w:lvl w:ilvl="1">
      <w:start w:val="1"/>
      <w:numFmt w:val="upperRoman"/>
      <w:lvlText w:val="%2."/>
      <w:lvlJc w:val="righ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67520446"/>
    <w:multiLevelType w:val="hybridMultilevel"/>
    <w:tmpl w:val="7CD46932"/>
    <w:lvl w:ilvl="0" w:tplc="1980B054">
      <w:start w:val="1"/>
      <w:numFmt w:val="decimal"/>
      <w:lvlText w:val="%1."/>
      <w:lvlJc w:val="left"/>
      <w:pPr>
        <w:ind w:left="720" w:hanging="360"/>
      </w:pPr>
    </w:lvl>
    <w:lvl w:ilvl="1" w:tplc="44A6F4C0">
      <w:start w:val="1"/>
      <w:numFmt w:val="upperRoman"/>
      <w:lvlText w:val="%2."/>
      <w:lvlJc w:val="right"/>
      <w:pPr>
        <w:ind w:left="1440" w:hanging="360"/>
      </w:pPr>
      <w:rPr>
        <w:b w:val="0"/>
        <w:bCs w:val="0"/>
      </w:rPr>
    </w:lvl>
    <w:lvl w:ilvl="2" w:tplc="6B3C4F3E">
      <w:start w:val="1"/>
      <w:numFmt w:val="lowerRoman"/>
      <w:lvlText w:val="%3."/>
      <w:lvlJc w:val="right"/>
      <w:pPr>
        <w:ind w:left="2160" w:hanging="180"/>
      </w:pPr>
    </w:lvl>
    <w:lvl w:ilvl="3" w:tplc="53348340">
      <w:start w:val="1"/>
      <w:numFmt w:val="decimal"/>
      <w:lvlText w:val="%4."/>
      <w:lvlJc w:val="left"/>
      <w:pPr>
        <w:ind w:left="2880" w:hanging="360"/>
      </w:pPr>
    </w:lvl>
    <w:lvl w:ilvl="4" w:tplc="B7BADE38">
      <w:start w:val="1"/>
      <w:numFmt w:val="lowerLetter"/>
      <w:lvlText w:val="%5."/>
      <w:lvlJc w:val="left"/>
      <w:pPr>
        <w:ind w:left="3600" w:hanging="360"/>
      </w:pPr>
    </w:lvl>
    <w:lvl w:ilvl="5" w:tplc="CA3E61DA">
      <w:start w:val="1"/>
      <w:numFmt w:val="lowerRoman"/>
      <w:lvlText w:val="%6."/>
      <w:lvlJc w:val="right"/>
      <w:pPr>
        <w:ind w:left="4320" w:hanging="180"/>
      </w:pPr>
    </w:lvl>
    <w:lvl w:ilvl="6" w:tplc="7630830E">
      <w:start w:val="1"/>
      <w:numFmt w:val="decimal"/>
      <w:lvlText w:val="%7."/>
      <w:lvlJc w:val="left"/>
      <w:pPr>
        <w:ind w:left="5040" w:hanging="360"/>
      </w:pPr>
    </w:lvl>
    <w:lvl w:ilvl="7" w:tplc="521A07EE">
      <w:start w:val="1"/>
      <w:numFmt w:val="lowerLetter"/>
      <w:lvlText w:val="%8."/>
      <w:lvlJc w:val="left"/>
      <w:pPr>
        <w:ind w:left="5760" w:hanging="360"/>
      </w:pPr>
    </w:lvl>
    <w:lvl w:ilvl="8" w:tplc="6EB6BA10">
      <w:start w:val="1"/>
      <w:numFmt w:val="lowerRoman"/>
      <w:lvlText w:val="%9."/>
      <w:lvlJc w:val="right"/>
      <w:pPr>
        <w:ind w:left="6480" w:hanging="180"/>
      </w:pPr>
    </w:lvl>
  </w:abstractNum>
  <w:abstractNum w:abstractNumId="7"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F939F3"/>
    <w:multiLevelType w:val="hybridMultilevel"/>
    <w:tmpl w:val="224C1A3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17224419">
    <w:abstractNumId w:val="4"/>
  </w:num>
  <w:num w:numId="2" w16cid:durableId="2078168818">
    <w:abstractNumId w:val="6"/>
  </w:num>
  <w:num w:numId="3" w16cid:durableId="1361780983">
    <w:abstractNumId w:val="0"/>
  </w:num>
  <w:num w:numId="4" w16cid:durableId="761487383">
    <w:abstractNumId w:val="1"/>
  </w:num>
  <w:num w:numId="5" w16cid:durableId="2054111395">
    <w:abstractNumId w:val="2"/>
  </w:num>
  <w:num w:numId="6" w16cid:durableId="1630554513">
    <w:abstractNumId w:val="7"/>
  </w:num>
  <w:num w:numId="7" w16cid:durableId="993610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3408729">
    <w:abstractNumId w:val="8"/>
  </w:num>
  <w:num w:numId="9" w16cid:durableId="140294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12DA5"/>
    <w:rsid w:val="0003202B"/>
    <w:rsid w:val="0003352F"/>
    <w:rsid w:val="00041298"/>
    <w:rsid w:val="0004462F"/>
    <w:rsid w:val="0009687A"/>
    <w:rsid w:val="0009772C"/>
    <w:rsid w:val="000C78C4"/>
    <w:rsid w:val="000D3F4A"/>
    <w:rsid w:val="000E4DB7"/>
    <w:rsid w:val="00133C36"/>
    <w:rsid w:val="001508D3"/>
    <w:rsid w:val="00166EF8"/>
    <w:rsid w:val="001776C5"/>
    <w:rsid w:val="00194814"/>
    <w:rsid w:val="001A7683"/>
    <w:rsid w:val="001B2354"/>
    <w:rsid w:val="00201C0F"/>
    <w:rsid w:val="00231A90"/>
    <w:rsid w:val="00251655"/>
    <w:rsid w:val="002832FF"/>
    <w:rsid w:val="002B5232"/>
    <w:rsid w:val="002B5CCB"/>
    <w:rsid w:val="002F26C2"/>
    <w:rsid w:val="00303ED5"/>
    <w:rsid w:val="003141C0"/>
    <w:rsid w:val="00317540"/>
    <w:rsid w:val="00320E7F"/>
    <w:rsid w:val="00336809"/>
    <w:rsid w:val="00337ABC"/>
    <w:rsid w:val="00337D23"/>
    <w:rsid w:val="00354348"/>
    <w:rsid w:val="0036686E"/>
    <w:rsid w:val="003851AA"/>
    <w:rsid w:val="003A7E2F"/>
    <w:rsid w:val="003C3A9B"/>
    <w:rsid w:val="004644D6"/>
    <w:rsid w:val="004775EF"/>
    <w:rsid w:val="00481A18"/>
    <w:rsid w:val="004B3965"/>
    <w:rsid w:val="004B6505"/>
    <w:rsid w:val="004D00AE"/>
    <w:rsid w:val="004D453C"/>
    <w:rsid w:val="00513221"/>
    <w:rsid w:val="00587D3F"/>
    <w:rsid w:val="005E127B"/>
    <w:rsid w:val="005E633A"/>
    <w:rsid w:val="00604B1A"/>
    <w:rsid w:val="00606F3B"/>
    <w:rsid w:val="00642832"/>
    <w:rsid w:val="006A1B73"/>
    <w:rsid w:val="006D3401"/>
    <w:rsid w:val="006F1ED7"/>
    <w:rsid w:val="006F6BD6"/>
    <w:rsid w:val="00701EA3"/>
    <w:rsid w:val="00702BBC"/>
    <w:rsid w:val="0071340F"/>
    <w:rsid w:val="007454D5"/>
    <w:rsid w:val="0075016C"/>
    <w:rsid w:val="00765211"/>
    <w:rsid w:val="007827F3"/>
    <w:rsid w:val="00796C7A"/>
    <w:rsid w:val="007C3910"/>
    <w:rsid w:val="007C6E04"/>
    <w:rsid w:val="007F58D6"/>
    <w:rsid w:val="007F6C7F"/>
    <w:rsid w:val="00805573"/>
    <w:rsid w:val="008061F4"/>
    <w:rsid w:val="008246A0"/>
    <w:rsid w:val="008252FE"/>
    <w:rsid w:val="00864807"/>
    <w:rsid w:val="008A61D0"/>
    <w:rsid w:val="008C7E26"/>
    <w:rsid w:val="008F31E7"/>
    <w:rsid w:val="00901AF8"/>
    <w:rsid w:val="00923B66"/>
    <w:rsid w:val="00932232"/>
    <w:rsid w:val="00955396"/>
    <w:rsid w:val="00970CCC"/>
    <w:rsid w:val="00A07BD1"/>
    <w:rsid w:val="00A100E3"/>
    <w:rsid w:val="00A34E14"/>
    <w:rsid w:val="00A45F2C"/>
    <w:rsid w:val="00A564C5"/>
    <w:rsid w:val="00A6098D"/>
    <w:rsid w:val="00A87FC2"/>
    <w:rsid w:val="00AA3CB5"/>
    <w:rsid w:val="00AB36F3"/>
    <w:rsid w:val="00B05B44"/>
    <w:rsid w:val="00B917AC"/>
    <w:rsid w:val="00B924A0"/>
    <w:rsid w:val="00BB0D95"/>
    <w:rsid w:val="00C10750"/>
    <w:rsid w:val="00C60857"/>
    <w:rsid w:val="00C80DA3"/>
    <w:rsid w:val="00C84CF2"/>
    <w:rsid w:val="00C860EB"/>
    <w:rsid w:val="00C96B31"/>
    <w:rsid w:val="00CAA21A"/>
    <w:rsid w:val="00CB70F4"/>
    <w:rsid w:val="00CC52D1"/>
    <w:rsid w:val="00CC5440"/>
    <w:rsid w:val="00CE39C9"/>
    <w:rsid w:val="00D50F40"/>
    <w:rsid w:val="00D8241D"/>
    <w:rsid w:val="00DA7D38"/>
    <w:rsid w:val="00DB7186"/>
    <w:rsid w:val="00E107B5"/>
    <w:rsid w:val="00E14872"/>
    <w:rsid w:val="00E34F37"/>
    <w:rsid w:val="00E359DA"/>
    <w:rsid w:val="00E36C77"/>
    <w:rsid w:val="00E76D3F"/>
    <w:rsid w:val="00EC6555"/>
    <w:rsid w:val="00EF55A2"/>
    <w:rsid w:val="00F14FCE"/>
    <w:rsid w:val="00F16CA6"/>
    <w:rsid w:val="00F2770C"/>
    <w:rsid w:val="00F3584D"/>
    <w:rsid w:val="00F439D1"/>
    <w:rsid w:val="00F821DB"/>
    <w:rsid w:val="00F9259C"/>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1A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customStyle="1" w:styleId="Ttulo1Car">
    <w:name w:val="Título 1 Car"/>
    <w:basedOn w:val="Fuentedeprrafopredeter"/>
    <w:link w:val="Ttulo1"/>
    <w:uiPriority w:val="9"/>
    <w:rsid w:val="00231A90"/>
    <w:rPr>
      <w:rFonts w:asciiTheme="majorHAnsi" w:eastAsiaTheme="majorEastAsia" w:hAnsiTheme="majorHAnsi" w:cstheme="majorBidi"/>
      <w:color w:val="2F5496" w:themeColor="accent1" w:themeShade="BF"/>
      <w:sz w:val="32"/>
      <w:szCs w:val="32"/>
    </w:rPr>
  </w:style>
  <w:style w:type="paragraph" w:customStyle="1" w:styleId="ListParagraph1">
    <w:name w:val="List Paragraph1"/>
    <w:basedOn w:val="Normal"/>
    <w:rsid w:val="00C10750"/>
    <w:pPr>
      <w:spacing w:before="100" w:beforeAutospacing="1" w:line="256" w:lineRule="auto"/>
      <w:ind w:left="720"/>
      <w:contextualSpacing/>
    </w:pPr>
    <w:rPr>
      <w:rFonts w:ascii="Calibri" w:eastAsia="Times New Roman" w:hAnsi="Calibri" w:cs="Times New Roman"/>
      <w:lang w:eastAsia="es-MX"/>
    </w:rPr>
  </w:style>
  <w:style w:type="paragraph" w:styleId="NormalWeb">
    <w:name w:val="Normal (Web)"/>
    <w:basedOn w:val="Normal"/>
    <w:uiPriority w:val="99"/>
    <w:unhideWhenUsed/>
    <w:rsid w:val="0025165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251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9397">
      <w:bodyDiv w:val="1"/>
      <w:marLeft w:val="0"/>
      <w:marRight w:val="0"/>
      <w:marTop w:val="0"/>
      <w:marBottom w:val="0"/>
      <w:divBdr>
        <w:top w:val="none" w:sz="0" w:space="0" w:color="auto"/>
        <w:left w:val="none" w:sz="0" w:space="0" w:color="auto"/>
        <w:bottom w:val="none" w:sz="0" w:space="0" w:color="auto"/>
        <w:right w:val="none" w:sz="0" w:space="0" w:color="auto"/>
      </w:divBdr>
    </w:div>
    <w:div w:id="391975686">
      <w:bodyDiv w:val="1"/>
      <w:marLeft w:val="0"/>
      <w:marRight w:val="0"/>
      <w:marTop w:val="0"/>
      <w:marBottom w:val="0"/>
      <w:divBdr>
        <w:top w:val="none" w:sz="0" w:space="0" w:color="auto"/>
        <w:left w:val="none" w:sz="0" w:space="0" w:color="auto"/>
        <w:bottom w:val="none" w:sz="0" w:space="0" w:color="auto"/>
        <w:right w:val="none" w:sz="0" w:space="0" w:color="auto"/>
      </w:divBdr>
    </w:div>
    <w:div w:id="445739472">
      <w:bodyDiv w:val="1"/>
      <w:marLeft w:val="0"/>
      <w:marRight w:val="0"/>
      <w:marTop w:val="0"/>
      <w:marBottom w:val="0"/>
      <w:divBdr>
        <w:top w:val="none" w:sz="0" w:space="0" w:color="auto"/>
        <w:left w:val="none" w:sz="0" w:space="0" w:color="auto"/>
        <w:bottom w:val="none" w:sz="0" w:space="0" w:color="auto"/>
        <w:right w:val="none" w:sz="0" w:space="0" w:color="auto"/>
      </w:divBdr>
    </w:div>
    <w:div w:id="536356876">
      <w:bodyDiv w:val="1"/>
      <w:marLeft w:val="0"/>
      <w:marRight w:val="0"/>
      <w:marTop w:val="0"/>
      <w:marBottom w:val="0"/>
      <w:divBdr>
        <w:top w:val="none" w:sz="0" w:space="0" w:color="auto"/>
        <w:left w:val="none" w:sz="0" w:space="0" w:color="auto"/>
        <w:bottom w:val="none" w:sz="0" w:space="0" w:color="auto"/>
        <w:right w:val="none" w:sz="0" w:space="0" w:color="auto"/>
      </w:divBdr>
    </w:div>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816608375">
      <w:bodyDiv w:val="1"/>
      <w:marLeft w:val="0"/>
      <w:marRight w:val="0"/>
      <w:marTop w:val="0"/>
      <w:marBottom w:val="0"/>
      <w:divBdr>
        <w:top w:val="none" w:sz="0" w:space="0" w:color="auto"/>
        <w:left w:val="none" w:sz="0" w:space="0" w:color="auto"/>
        <w:bottom w:val="none" w:sz="0" w:space="0" w:color="auto"/>
        <w:right w:val="none" w:sz="0" w:space="0" w:color="auto"/>
      </w:divBdr>
    </w:div>
    <w:div w:id="923228004">
      <w:bodyDiv w:val="1"/>
      <w:marLeft w:val="0"/>
      <w:marRight w:val="0"/>
      <w:marTop w:val="0"/>
      <w:marBottom w:val="0"/>
      <w:divBdr>
        <w:top w:val="none" w:sz="0" w:space="0" w:color="auto"/>
        <w:left w:val="none" w:sz="0" w:space="0" w:color="auto"/>
        <w:bottom w:val="none" w:sz="0" w:space="0" w:color="auto"/>
        <w:right w:val="none" w:sz="0" w:space="0" w:color="auto"/>
      </w:divBdr>
    </w:div>
    <w:div w:id="977421583">
      <w:bodyDiv w:val="1"/>
      <w:marLeft w:val="0"/>
      <w:marRight w:val="0"/>
      <w:marTop w:val="0"/>
      <w:marBottom w:val="0"/>
      <w:divBdr>
        <w:top w:val="none" w:sz="0" w:space="0" w:color="auto"/>
        <w:left w:val="none" w:sz="0" w:space="0" w:color="auto"/>
        <w:bottom w:val="none" w:sz="0" w:space="0" w:color="auto"/>
        <w:right w:val="none" w:sz="0" w:space="0" w:color="auto"/>
      </w:divBdr>
    </w:div>
    <w:div w:id="986280597">
      <w:bodyDiv w:val="1"/>
      <w:marLeft w:val="0"/>
      <w:marRight w:val="0"/>
      <w:marTop w:val="0"/>
      <w:marBottom w:val="0"/>
      <w:divBdr>
        <w:top w:val="none" w:sz="0" w:space="0" w:color="auto"/>
        <w:left w:val="none" w:sz="0" w:space="0" w:color="auto"/>
        <w:bottom w:val="none" w:sz="0" w:space="0" w:color="auto"/>
        <w:right w:val="none" w:sz="0" w:space="0" w:color="auto"/>
      </w:divBdr>
    </w:div>
    <w:div w:id="1035540324">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950313971">
      <w:bodyDiv w:val="1"/>
      <w:marLeft w:val="0"/>
      <w:marRight w:val="0"/>
      <w:marTop w:val="0"/>
      <w:marBottom w:val="0"/>
      <w:divBdr>
        <w:top w:val="none" w:sz="0" w:space="0" w:color="auto"/>
        <w:left w:val="none" w:sz="0" w:space="0" w:color="auto"/>
        <w:bottom w:val="none" w:sz="0" w:space="0" w:color="auto"/>
        <w:right w:val="none" w:sz="0" w:space="0" w:color="auto"/>
      </w:divBdr>
    </w:div>
    <w:div w:id="199899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jn.gob.mx/sites/default/files/igualdad-genero/2017-05/2dolugarEnsayo201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vistas.unc.edu.ar/index.php/APyS/article/view/26812/28542" TargetMode="External"/><Relationship Id="rId4" Type="http://schemas.openxmlformats.org/officeDocument/2006/relationships/settings" Target="settings.xml"/><Relationship Id="rId9" Type="http://schemas.openxmlformats.org/officeDocument/2006/relationships/hyperlink" Target="http://www.apps.buap.mx/ojs3/index.php/dike/article/view/1251/179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2024-08-20T09:19:00Z</dcterms:created>
  <dcterms:modified xsi:type="dcterms:W3CDTF">2024-08-20T09:19:00Z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-7878710</vt:i4>
  </property>
</Properties>
</file>