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F5184" w14:textId="71741645" w:rsidR="4C758410" w:rsidRDefault="4C758410" w:rsidP="4C758410">
      <w:pPr>
        <w:jc w:val="center"/>
      </w:pPr>
    </w:p>
    <w:p w14:paraId="6265676E" w14:textId="0241D8C4" w:rsidR="5E9D0781" w:rsidRDefault="00B06BE1" w:rsidP="0FC63640">
      <w:pPr>
        <w:spacing w:after="0"/>
        <w:jc w:val="right"/>
        <w:rPr>
          <w:b/>
          <w:bCs/>
          <w:u w:val="single"/>
        </w:rPr>
      </w:pPr>
      <w:r>
        <w:rPr>
          <w:b/>
          <w:bCs/>
        </w:rPr>
        <w:t>Hernández</w:t>
      </w:r>
      <w:bookmarkStart w:id="0" w:name="_GoBack"/>
      <w:bookmarkEnd w:id="0"/>
      <w:r>
        <w:rPr>
          <w:b/>
          <w:bCs/>
        </w:rPr>
        <w:t xml:space="preserve"> Torres Edwin Adonai</w:t>
      </w:r>
    </w:p>
    <w:p w14:paraId="4598B373" w14:textId="4F28D814" w:rsidR="0FC63640" w:rsidRDefault="0FC63640" w:rsidP="0FC63640">
      <w:pPr>
        <w:spacing w:after="0"/>
        <w:jc w:val="right"/>
        <w:rPr>
          <w:b/>
          <w:bCs/>
        </w:rPr>
      </w:pPr>
    </w:p>
    <w:p w14:paraId="2E16D156" w14:textId="18D7DB89" w:rsidR="27EF1068" w:rsidRDefault="27EF1068" w:rsidP="0FC63640">
      <w:pPr>
        <w:jc w:val="center"/>
      </w:pPr>
      <w:r>
        <w:t>Guía de caso</w:t>
      </w:r>
    </w:p>
    <w:p w14:paraId="48EEBD51" w14:textId="0420836B" w:rsidR="0A0248E8" w:rsidRDefault="0A0248E8" w:rsidP="0FC63640">
      <w:r>
        <w:t xml:space="preserve">En esta guía de caso deberás incluir los siguientes elementos: 1. Pregunta de investigación, 2. Título del caso, 3. </w:t>
      </w:r>
      <w:r w:rsidR="7FA2823D">
        <w:t>Descripción del caso, 4.</w:t>
      </w:r>
      <w:r>
        <w:t xml:space="preserve"> Lista de materiales </w:t>
      </w:r>
      <w:r w:rsidR="25622DA0">
        <w:t>complementarios</w:t>
      </w:r>
      <w:r w:rsidR="39FBEC66">
        <w:t xml:space="preserve"> y 5. Preguntas sobre el caso</w:t>
      </w:r>
      <w:r w:rsidR="25622DA0">
        <w:t>.</w:t>
      </w:r>
      <w:r>
        <w:br/>
      </w:r>
    </w:p>
    <w:p w14:paraId="7D92A2D9" w14:textId="77777777" w:rsidR="00A92C1B" w:rsidRDefault="27EF1068" w:rsidP="00A92C1B">
      <w:pPr>
        <w:pStyle w:val="Prrafodelista"/>
        <w:numPr>
          <w:ilvl w:val="0"/>
          <w:numId w:val="2"/>
        </w:numPr>
      </w:pPr>
      <w:r>
        <w:t>Señala tu pregunta de investigación</w:t>
      </w:r>
      <w:r w:rsidR="54005169">
        <w:t xml:space="preserve"> (ej. ¿Las investigaciones de corrupción tienen sesgo partidista?, ¿Por qué existen variaciones en el nivel </w:t>
      </w:r>
      <w:r w:rsidR="19307BCE">
        <w:t>de participación cívica?</w:t>
      </w:r>
      <w:r w:rsidR="54005169">
        <w:t>)</w:t>
      </w:r>
      <w:r w:rsidR="246BAF1C">
        <w:t>.</w:t>
      </w:r>
    </w:p>
    <w:p w14:paraId="29FE66D4" w14:textId="40D4DF15" w:rsidR="00A92C1B" w:rsidRPr="0032696F" w:rsidRDefault="27EF1068" w:rsidP="0032696F">
      <w:pPr>
        <w:pStyle w:val="Prrafodelista"/>
        <w:rPr>
          <w:b/>
        </w:rPr>
      </w:pPr>
      <w:r>
        <w:br/>
      </w:r>
      <w:r w:rsidR="0032696F" w:rsidRPr="0032696F">
        <w:rPr>
          <w:b/>
        </w:rPr>
        <w:t>¿Cómo contribuyen l</w:t>
      </w:r>
      <w:r w:rsidR="00A92C1B" w:rsidRPr="0032696F">
        <w:rPr>
          <w:b/>
        </w:rPr>
        <w:t xml:space="preserve">as instituciones encargadas de la protección de los derechos político-electorales del ciudadano </w:t>
      </w:r>
      <w:r w:rsidR="00416F9E">
        <w:rPr>
          <w:b/>
        </w:rPr>
        <w:t>par</w:t>
      </w:r>
      <w:r w:rsidR="0032696F" w:rsidRPr="0032696F">
        <w:rPr>
          <w:b/>
        </w:rPr>
        <w:t xml:space="preserve">a evitar </w:t>
      </w:r>
      <w:r w:rsidR="00416F9E">
        <w:rPr>
          <w:b/>
        </w:rPr>
        <w:t xml:space="preserve">el uso indebido </w:t>
      </w:r>
      <w:r w:rsidR="0032696F" w:rsidRPr="0032696F">
        <w:rPr>
          <w:b/>
        </w:rPr>
        <w:t>de los programas sociales</w:t>
      </w:r>
      <w:r w:rsidR="00416F9E">
        <w:rPr>
          <w:b/>
        </w:rPr>
        <w:t xml:space="preserve"> por parte de los partidos </w:t>
      </w:r>
      <w:r w:rsidR="00356C26">
        <w:rPr>
          <w:b/>
        </w:rPr>
        <w:t>políticos</w:t>
      </w:r>
      <w:r w:rsidR="0032696F" w:rsidRPr="0032696F">
        <w:rPr>
          <w:b/>
        </w:rPr>
        <w:t>?</w:t>
      </w:r>
    </w:p>
    <w:p w14:paraId="78FDF02A" w14:textId="77777777" w:rsidR="0032696F" w:rsidRDefault="0032696F" w:rsidP="0032696F">
      <w:pPr>
        <w:pStyle w:val="Prrafodelista"/>
      </w:pPr>
    </w:p>
    <w:p w14:paraId="7034AC4D" w14:textId="77777777" w:rsidR="0032696F" w:rsidRDefault="6116D625" w:rsidP="0032696F">
      <w:pPr>
        <w:pStyle w:val="Prrafodelista"/>
        <w:numPr>
          <w:ilvl w:val="0"/>
          <w:numId w:val="2"/>
        </w:numPr>
      </w:pPr>
      <w:r>
        <w:t xml:space="preserve">Indica el título del caso que presentarás (ej. </w:t>
      </w:r>
      <w:r w:rsidR="4A5504DC">
        <w:t>Simulación en las acciones afirmativas: El caso de las Juanitas de 2009</w:t>
      </w:r>
      <w:r w:rsidR="1B7AB95D">
        <w:t>).</w:t>
      </w:r>
    </w:p>
    <w:p w14:paraId="683DF92E" w14:textId="77777777" w:rsidR="0032696F" w:rsidRDefault="0032696F" w:rsidP="0032696F">
      <w:pPr>
        <w:pStyle w:val="Prrafodelista"/>
      </w:pPr>
    </w:p>
    <w:p w14:paraId="174AB024" w14:textId="6230183A" w:rsidR="6116D625" w:rsidRPr="0032696F" w:rsidRDefault="0032696F" w:rsidP="0032696F">
      <w:pPr>
        <w:pStyle w:val="Prrafodelista"/>
      </w:pPr>
      <w:r w:rsidRPr="0032696F">
        <w:rPr>
          <w:b/>
        </w:rPr>
        <w:t>Morena y su campaña de atribución de vacunas COVID-19</w:t>
      </w:r>
      <w:r>
        <w:t xml:space="preserve"> </w:t>
      </w:r>
      <w:r w:rsidRPr="0032696F">
        <w:rPr>
          <w:b/>
        </w:rPr>
        <w:t>en 2021</w:t>
      </w:r>
      <w:r w:rsidR="00083405">
        <w:rPr>
          <w:b/>
        </w:rPr>
        <w:t>.</w:t>
      </w:r>
      <w:r w:rsidR="6116D625" w:rsidRPr="0032696F">
        <w:br/>
      </w:r>
    </w:p>
    <w:p w14:paraId="19A51CEE" w14:textId="5500FA40" w:rsidR="00083405" w:rsidRDefault="35166412" w:rsidP="00083405">
      <w:pPr>
        <w:pStyle w:val="Prrafodelista"/>
        <w:numPr>
          <w:ilvl w:val="0"/>
          <w:numId w:val="2"/>
        </w:numPr>
      </w:pPr>
      <w:r>
        <w:t>Describe el caso de forma detallada</w:t>
      </w:r>
      <w:r w:rsidR="19155581">
        <w:t xml:space="preserve"> (</w:t>
      </w:r>
      <w:r w:rsidR="24AE509A">
        <w:t>actores involucrados,</w:t>
      </w:r>
      <w:r w:rsidR="1229AA05">
        <w:t xml:space="preserve"> </w:t>
      </w:r>
      <w:r w:rsidR="19155581">
        <w:t>temporalidad, ubicación geográfica, relevancia,</w:t>
      </w:r>
      <w:r w:rsidR="0F3E85F2">
        <w:t xml:space="preserve"> </w:t>
      </w:r>
      <w:r w:rsidR="19155581">
        <w:t>etc</w:t>
      </w:r>
      <w:r w:rsidR="3988410D">
        <w:t>.</w:t>
      </w:r>
      <w:r w:rsidR="19155581">
        <w:t>)</w:t>
      </w:r>
      <w:r w:rsidR="2BA7D28A">
        <w:t xml:space="preserve"> de forma que sea fácil de comprender para</w:t>
      </w:r>
      <w:r w:rsidR="4DCBDB47">
        <w:t xml:space="preserve"> el</w:t>
      </w:r>
      <w:r w:rsidR="2BA7D28A">
        <w:t xml:space="preserve"> público en general</w:t>
      </w:r>
      <w:r>
        <w:t xml:space="preserve">. Incluye nombres </w:t>
      </w:r>
      <w:r w:rsidR="5BD1333B">
        <w:t>y cargos o rol de</w:t>
      </w:r>
      <w:r>
        <w:t xml:space="preserve"> actores principales, fechas relevantes, </w:t>
      </w:r>
      <w:r w:rsidR="28F401DE">
        <w:t>legislación aplicable</w:t>
      </w:r>
      <w:r w:rsidR="6424EEAA">
        <w:t>. Utiliza una estructura introducción-desarrollo-nudo-desenlace</w:t>
      </w:r>
      <w:r w:rsidR="10F0500F">
        <w:t>.</w:t>
      </w:r>
      <w:r w:rsidR="4A20874B">
        <w:t xml:space="preserve"> (ej.</w:t>
      </w:r>
      <w:r w:rsidR="11EDF7F2">
        <w:t xml:space="preserve"> </w:t>
      </w:r>
      <w:hyperlink r:id="rId8">
        <w:r w:rsidR="11EDF7F2" w:rsidRPr="0FC63640">
          <w:rPr>
            <w:rStyle w:val="Hipervnculo"/>
          </w:rPr>
          <w:t>Guía de caso de Acciones afirmativas</w:t>
        </w:r>
      </w:hyperlink>
      <w:r w:rsidR="4A20874B">
        <w:t>)</w:t>
      </w:r>
      <w:r w:rsidR="321DE7F8">
        <w:t>.</w:t>
      </w:r>
      <w:r>
        <w:br/>
      </w:r>
    </w:p>
    <w:p w14:paraId="218D5560" w14:textId="269012C0" w:rsidR="00083405" w:rsidRDefault="008C0FB2" w:rsidP="00356C26">
      <w:pPr>
        <w:pStyle w:val="Prrafodelista"/>
        <w:spacing w:line="360" w:lineRule="auto"/>
      </w:pPr>
      <w:r>
        <w:t xml:space="preserve">El 9 de enero de 2020 se declaró la identificación de un </w:t>
      </w:r>
      <w:r w:rsidR="00722429">
        <w:t>nuevo coronavirus</w:t>
      </w:r>
      <w:r w:rsidR="00356C26">
        <w:t xml:space="preserve"> siendo China en</w:t>
      </w:r>
      <w:r w:rsidR="00722429">
        <w:t xml:space="preserve"> donde </w:t>
      </w:r>
      <w:r w:rsidR="00356C26">
        <w:t xml:space="preserve">se registra </w:t>
      </w:r>
      <w:r w:rsidR="00722429">
        <w:t>el primer caso,</w:t>
      </w:r>
      <w:r>
        <w:t xml:space="preserve"> mismo que provocaba las primeras defunciones a días </w:t>
      </w:r>
      <w:r w:rsidR="00356C26">
        <w:t>de ser declarada su</w:t>
      </w:r>
      <w:r>
        <w:t xml:space="preserve"> existencia, rápidamente </w:t>
      </w:r>
      <w:r w:rsidR="00356C26">
        <w:t xml:space="preserve">el virus </w:t>
      </w:r>
      <w:r>
        <w:t xml:space="preserve">logro expandirse a nivel global ya que en tan solo 1 mes </w:t>
      </w:r>
      <w:r w:rsidR="00722429">
        <w:t>llegaría a México y otras partes del mundo.</w:t>
      </w:r>
    </w:p>
    <w:p w14:paraId="5EB9E6B2" w14:textId="77777777" w:rsidR="00722429" w:rsidRDefault="00722429" w:rsidP="00356C26">
      <w:pPr>
        <w:pStyle w:val="Prrafodelista"/>
        <w:spacing w:line="360" w:lineRule="auto"/>
      </w:pPr>
      <w:r>
        <w:t>El 27 de febrero del 2020 se registraría el primer caso de COVID-19 en el país, en marzo del mismo año la Organización Mundial de la Salud (OMS) dictaba la declaratoria de pandemia debido al incremento de los casos registrados por esta enfermedad, fue el 1 de Abril que en México se hacia la declaratoria de emergencia por parte del Gobierno Federal.</w:t>
      </w:r>
    </w:p>
    <w:p w14:paraId="4E64099D" w14:textId="73AC0756" w:rsidR="002E1281" w:rsidRDefault="00722429" w:rsidP="00356C26">
      <w:pPr>
        <w:pStyle w:val="Prrafodelista"/>
        <w:spacing w:line="360" w:lineRule="auto"/>
      </w:pPr>
      <w:r>
        <w:lastRenderedPageBreak/>
        <w:t>Fue indispensable la creación de vacunas contra COVID-19 en búsqueda de disminuir las defunciones, las primeras dosis llegarían a México en diciembre de</w:t>
      </w:r>
      <w:r w:rsidR="002E1281">
        <w:t>l</w:t>
      </w:r>
      <w:r>
        <w:t xml:space="preserve"> 2020</w:t>
      </w:r>
      <w:r w:rsidR="002E1281">
        <w:t xml:space="preserve"> por lo que el Gobierno Federal daría inicio al programa de vacunación gratuito y universal. </w:t>
      </w:r>
    </w:p>
    <w:p w14:paraId="48B89A4A" w14:textId="77777777" w:rsidR="0064150E" w:rsidRDefault="0064150E" w:rsidP="00356C26">
      <w:pPr>
        <w:pStyle w:val="Prrafodelista"/>
        <w:spacing w:line="360" w:lineRule="auto"/>
      </w:pPr>
    </w:p>
    <w:p w14:paraId="0F72B066" w14:textId="77777777" w:rsidR="00A61F12" w:rsidRDefault="002E1281" w:rsidP="00356C26">
      <w:pPr>
        <w:pStyle w:val="Prrafodelista"/>
        <w:spacing w:line="360" w:lineRule="auto"/>
      </w:pPr>
      <w:r>
        <w:t>En materia política el país</w:t>
      </w:r>
      <w:r w:rsidR="0064150E">
        <w:t xml:space="preserve"> desde 2018 está siendo gobernado por el partido Movimiento de Regeneración Nacional (Morena) siendo el </w:t>
      </w:r>
      <w:r w:rsidR="0064150E">
        <w:t xml:space="preserve">fundador </w:t>
      </w:r>
      <w:r w:rsidR="0064150E">
        <w:t xml:space="preserve">del partido y actual </w:t>
      </w:r>
      <w:r w:rsidR="0064150E">
        <w:t xml:space="preserve">presidente </w:t>
      </w:r>
      <w:r>
        <w:t>Andrés Manuel López Obrador</w:t>
      </w:r>
      <w:r w:rsidR="0064150E">
        <w:t xml:space="preserve"> quien figura </w:t>
      </w:r>
      <w:r w:rsidR="00A61F12">
        <w:t>en su gobierno como el encargado del progreso y bienestar de los mexicanos, por lo tanto en conjunto con las instituciones y secretarias de Estado en búsqueda de atender la pandemia por COVID-19 se coordinó el plan de vacunación implementado a nivel nacional gracias a la compra de más de 250 millones vacunas adquiridas en una inversión de 15 mil 809 millones de pesos en contratos con diferentes farmacéuticas.</w:t>
      </w:r>
    </w:p>
    <w:p w14:paraId="38ADAC4B" w14:textId="1045EB36" w:rsidR="003621F6" w:rsidRDefault="00D31D49" w:rsidP="00356C26">
      <w:pPr>
        <w:pStyle w:val="Prrafodelista"/>
        <w:spacing w:line="360" w:lineRule="auto"/>
        <w:rPr>
          <w:rFonts w:cstheme="minorHAnsi"/>
        </w:rPr>
      </w:pPr>
      <w:r>
        <w:t xml:space="preserve">A partir de enero de 2021 comenzaba la difusión de diversos comerciales e imágenes presentadas en los distintos medios de comunicación en diversos estados del país, aludiendo en donde se buscaba por parte de Morena generar en los ciudadanos una atribución del partido por la compra de las vacunas para el combate al COVID-19, esto comenzó el 1 de Enero cuando a través del radio se presentaría el promocional con registro </w:t>
      </w:r>
      <w:r w:rsidRPr="003621F6">
        <w:rPr>
          <w:rFonts w:cstheme="minorHAnsi"/>
        </w:rPr>
        <w:t xml:space="preserve">VACUNA COVID RA01014-20 </w:t>
      </w:r>
      <w:r w:rsidR="003621F6">
        <w:rPr>
          <w:rFonts w:cstheme="minorHAnsi"/>
        </w:rPr>
        <w:t>mismo que daría comienzo a diversas denuncias por parte de</w:t>
      </w:r>
      <w:r w:rsidRPr="003621F6">
        <w:rPr>
          <w:rFonts w:cstheme="minorHAnsi"/>
        </w:rPr>
        <w:t xml:space="preserve"> partido</w:t>
      </w:r>
      <w:r w:rsidR="003621F6">
        <w:rPr>
          <w:rFonts w:cstheme="minorHAnsi"/>
        </w:rPr>
        <w:t>s</w:t>
      </w:r>
      <w:r w:rsidRPr="003621F6">
        <w:rPr>
          <w:rFonts w:cstheme="minorHAnsi"/>
        </w:rPr>
        <w:t xml:space="preserve"> de oposición </w:t>
      </w:r>
      <w:r w:rsidR="003621F6">
        <w:rPr>
          <w:rFonts w:cstheme="minorHAnsi"/>
        </w:rPr>
        <w:t xml:space="preserve">como lo fue el Partido de la Revolución Democrática y el </w:t>
      </w:r>
      <w:r w:rsidRPr="003621F6">
        <w:rPr>
          <w:rFonts w:cstheme="minorHAnsi"/>
        </w:rPr>
        <w:t>Partido Acción Nacional (PAN) ante la Comisión de Quejas y Denuncias del INE</w:t>
      </w:r>
      <w:r w:rsidR="003621F6" w:rsidRPr="003621F6">
        <w:rPr>
          <w:rFonts w:cstheme="minorHAnsi"/>
        </w:rPr>
        <w:t xml:space="preserve"> </w:t>
      </w:r>
      <w:r w:rsidR="003621F6" w:rsidRPr="003621F6">
        <w:rPr>
          <w:rFonts w:cstheme="minorHAnsi"/>
        </w:rPr>
        <w:t>conforme a lo dispuesto en los artículos 41, Base III, apartado A), párrafo 3, de la Constitución Política de los Estados Unidos Mexicanos; 459, párrafo 1, inciso b); y 471, párrafo 8, de la Ley General de Instituciones y Procedimientos Electorales; y 4, párrafo 2; 5, párrafos 1, fracción II, y 2, fracción I, inciso c); 38, párrafo 1, fracción I; y 40, del Reglamento de Quejas y Denuncias del Instituto Nacional Electoral</w:t>
      </w:r>
      <w:r w:rsidR="003621F6">
        <w:rPr>
          <w:rFonts w:cstheme="minorHAnsi"/>
        </w:rPr>
        <w:t>.</w:t>
      </w:r>
    </w:p>
    <w:p w14:paraId="148C2242" w14:textId="36368DA0" w:rsidR="00083405" w:rsidRDefault="00D31D49" w:rsidP="00356C26">
      <w:pPr>
        <w:pStyle w:val="Prrafodelista"/>
        <w:spacing w:line="360" w:lineRule="auto"/>
      </w:pPr>
      <w:r w:rsidRPr="003621F6">
        <w:rPr>
          <w:rFonts w:cstheme="minorHAnsi"/>
        </w:rPr>
        <w:t xml:space="preserve"> </w:t>
      </w:r>
      <w:r w:rsidR="003621F6" w:rsidRPr="003621F6">
        <w:rPr>
          <w:rFonts w:cstheme="minorHAnsi"/>
        </w:rPr>
        <w:t>Aludiendo</w:t>
      </w:r>
      <w:r w:rsidRPr="003621F6">
        <w:rPr>
          <w:rFonts w:cstheme="minorHAnsi"/>
        </w:rPr>
        <w:t xml:space="preserve">  que </w:t>
      </w:r>
      <w:r w:rsidR="003621F6" w:rsidRPr="003621F6">
        <w:rPr>
          <w:rFonts w:cstheme="minorHAnsi"/>
          <w:color w:val="222222"/>
        </w:rPr>
        <w:t>constituía</w:t>
      </w:r>
      <w:r w:rsidRPr="003621F6">
        <w:rPr>
          <w:rFonts w:cstheme="minorHAnsi"/>
          <w:color w:val="222222"/>
        </w:rPr>
        <w:t xml:space="preserve"> un uso indebido de la pauta, utilización indebida de programas sociales y actos anticipados de campaña</w:t>
      </w:r>
      <w:r w:rsidR="003621F6">
        <w:rPr>
          <w:rFonts w:cstheme="minorHAnsi"/>
        </w:rPr>
        <w:t xml:space="preserve">, </w:t>
      </w:r>
      <w:r w:rsidRPr="003621F6">
        <w:rPr>
          <w:rFonts w:cstheme="minorHAnsi"/>
        </w:rPr>
        <w:t>sin embargo este organismo público autónomo desestimaría esta acusación</w:t>
      </w:r>
      <w:r>
        <w:t xml:space="preserve"> </w:t>
      </w:r>
      <w:r w:rsidR="003621F6">
        <w:t xml:space="preserve">con base a que aquel material no violaba de manera clara o evidente, disposición jurídica o principio constitucional alguno que amerite la suspensión o retiro de aquel promocional. </w:t>
      </w:r>
    </w:p>
    <w:p w14:paraId="5076F02E" w14:textId="2B4DE736" w:rsidR="001D5CF2" w:rsidRDefault="001D5CF2" w:rsidP="00356C26">
      <w:pPr>
        <w:pStyle w:val="Prrafodelista"/>
        <w:spacing w:line="360" w:lineRule="auto"/>
      </w:pPr>
      <w:r>
        <w:lastRenderedPageBreak/>
        <w:t xml:space="preserve">Este proceso se repite en diversas ocasiones en los tres primeros meses del 2021, en la mayoría de ellas solo ordenaban el retiro de los promocionales por parte del Tribunal Electoral de la Federación (TEPJF); fue hasta el 20 de Marzo de ese mismo que a través de la plataforma publicitaria Twitter la cuenta oficial del partido Morena haría un tuit respecto a la vacuna COVID-19 atribuyéndose de manera indebida la campaña de vacunación contra el COVID. </w:t>
      </w:r>
    </w:p>
    <w:p w14:paraId="1F25C429" w14:textId="77777777" w:rsidR="00416F9E" w:rsidRDefault="001D5CF2" w:rsidP="00356C26">
      <w:pPr>
        <w:pStyle w:val="Prrafodelista"/>
        <w:spacing w:line="360" w:lineRule="auto"/>
      </w:pPr>
      <w:r>
        <w:t>El TEPJF impuso ante esto una multa por 286 mil 860 pesos al partido</w:t>
      </w:r>
      <w:r w:rsidR="00416F9E">
        <w:t xml:space="preserve"> por el uso indebido de programas sociales </w:t>
      </w:r>
      <w:r>
        <w:t xml:space="preserve">, bajo el sustento de que los partidos políticos pueden utilizar la información que deriva de los programas sociales </w:t>
      </w:r>
      <w:r w:rsidR="00416F9E">
        <w:t>como parte del debate público, para conseguir mayor número de adeptos y votos, sin embargo no deberán apropiarse de su uso y difusión como si el propio partido participara en la ejecución del programa pues podría ocasionar confusión en la ciudadanía a la hora de efectuar su voto en búsqueda de la obtención de beneficios.</w:t>
      </w:r>
    </w:p>
    <w:p w14:paraId="42539B83" w14:textId="429E4F28" w:rsidR="00083405" w:rsidRDefault="00416F9E" w:rsidP="00356C26">
      <w:pPr>
        <w:pStyle w:val="Prrafodelista"/>
        <w:spacing w:line="360" w:lineRule="auto"/>
      </w:pPr>
      <w:r>
        <w:t>Esto, con fundamento en los artículos 41, Base I8 y 99, párrafo cuarto, fracción IX9 de la Constitución Federal; 186, fracción III, inciso h), 192,</w:t>
      </w:r>
      <w:r>
        <w:t xml:space="preserve"> </w:t>
      </w:r>
      <w:r>
        <w:t>primer párrafo, y 195, último párrafo, de la Ley Orgánica del P</w:t>
      </w:r>
      <w:r>
        <w:t>oder Judicial de la Federación</w:t>
      </w:r>
      <w:r>
        <w:t>; así como el 209, párrafo 5, 443, párrafo 1, inciso a),</w:t>
      </w:r>
      <w:r>
        <w:t xml:space="preserve"> 476 y 477 de la Ley Electoral</w:t>
      </w:r>
      <w:r>
        <w:t>, el diverso 25, incisos a) e y),</w:t>
      </w:r>
      <w:r>
        <w:t xml:space="preserve"> de la Ley de Partidos</w:t>
      </w:r>
      <w:r>
        <w:t xml:space="preserve">, y el 38 de la Ley </w:t>
      </w:r>
      <w:r>
        <w:t xml:space="preserve">General de Desarrollo Social. </w:t>
      </w:r>
    </w:p>
    <w:p w14:paraId="4E4F8DD8" w14:textId="7DD8BC15" w:rsidR="00416F9E" w:rsidRDefault="00416F9E" w:rsidP="00B06BE1">
      <w:pPr>
        <w:pStyle w:val="Prrafodelista"/>
        <w:spacing w:line="360" w:lineRule="auto"/>
      </w:pPr>
      <w:r>
        <w:t xml:space="preserve">Con lo mencionado anteriormente es conveniente la evaluación </w:t>
      </w:r>
      <w:r w:rsidR="00356C26">
        <w:t>de las resoluciones por parte de las instituciones que deberán proteger los derechos político-electorales para identificar si los partidos políticos se abstienen de incurrir en delitos electorales que transgredan los derechos de los mexicanos.</w:t>
      </w:r>
      <w:r>
        <w:t xml:space="preserve"> </w:t>
      </w:r>
      <w:r w:rsidR="00025777" w:rsidRPr="009D07B3">
        <w:rPr>
          <w:rFonts w:ascii="Arial" w:hAnsi="Arial" w:cs="Arial"/>
          <w:noProof/>
          <w:lang w:eastAsia="es-MX"/>
        </w:rPr>
        <w:drawing>
          <wp:anchor distT="0" distB="0" distL="114300" distR="114300" simplePos="0" relativeHeight="251658240" behindDoc="0" locked="0" layoutInCell="1" allowOverlap="1" wp14:anchorId="40BC76AD" wp14:editId="3BA93ABF">
            <wp:simplePos x="1533525" y="7210425"/>
            <wp:positionH relativeFrom="margin">
              <wp:align>center</wp:align>
            </wp:positionH>
            <wp:positionV relativeFrom="margin">
              <wp:align>bottom</wp:align>
            </wp:positionV>
            <wp:extent cx="2852420" cy="2540000"/>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0563" t="31557" r="33129" b="26969"/>
                    <a:stretch/>
                  </pic:blipFill>
                  <pic:spPr bwMode="auto">
                    <a:xfrm>
                      <a:off x="0" y="0"/>
                      <a:ext cx="2852420" cy="2540000"/>
                    </a:xfrm>
                    <a:prstGeom prst="rect">
                      <a:avLst/>
                    </a:prstGeom>
                    <a:ln>
                      <a:noFill/>
                    </a:ln>
                    <a:extLst>
                      <a:ext uri="{53640926-AAD7-44D8-BBD7-CCE9431645EC}">
                        <a14:shadowObscured xmlns:a14="http://schemas.microsoft.com/office/drawing/2010/main"/>
                      </a:ext>
                    </a:extLst>
                  </pic:spPr>
                </pic:pic>
              </a:graphicData>
            </a:graphic>
          </wp:anchor>
        </w:drawing>
      </w:r>
    </w:p>
    <w:p w14:paraId="210D1869" w14:textId="02263E1D" w:rsidR="00025777" w:rsidRDefault="00025777" w:rsidP="00025777">
      <w:pPr>
        <w:pStyle w:val="Prrafodelista"/>
        <w:spacing w:line="360" w:lineRule="auto"/>
        <w:jc w:val="center"/>
      </w:pPr>
      <w:r>
        <w:rPr>
          <w:noProof/>
          <w:lang w:eastAsia="es-MX"/>
        </w:rPr>
        <w:lastRenderedPageBreak/>
        <w:drawing>
          <wp:inline distT="0" distB="0" distL="0" distR="0" wp14:anchorId="2FE928FF" wp14:editId="62827373">
            <wp:extent cx="2809799" cy="1704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79" t="48731" r="56785" b="12223"/>
                    <a:stretch/>
                  </pic:blipFill>
                  <pic:spPr bwMode="auto">
                    <a:xfrm>
                      <a:off x="0" y="0"/>
                      <a:ext cx="2815445" cy="170840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47C422A" wp14:editId="5577CFCA">
            <wp:extent cx="2809240" cy="1745548"/>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79" t="30612" r="56785" b="29404"/>
                    <a:stretch/>
                  </pic:blipFill>
                  <pic:spPr bwMode="auto">
                    <a:xfrm>
                      <a:off x="0" y="0"/>
                      <a:ext cx="2817679" cy="1750792"/>
                    </a:xfrm>
                    <a:prstGeom prst="rect">
                      <a:avLst/>
                    </a:prstGeom>
                    <a:ln>
                      <a:noFill/>
                    </a:ln>
                    <a:extLst>
                      <a:ext uri="{53640926-AAD7-44D8-BBD7-CCE9431645EC}">
                        <a14:shadowObscured xmlns:a14="http://schemas.microsoft.com/office/drawing/2010/main"/>
                      </a:ext>
                    </a:extLst>
                  </pic:spPr>
                </pic:pic>
              </a:graphicData>
            </a:graphic>
          </wp:inline>
        </w:drawing>
      </w:r>
    </w:p>
    <w:p w14:paraId="1C81BA79" w14:textId="77777777" w:rsidR="00083405" w:rsidRDefault="00083405" w:rsidP="00083405">
      <w:pPr>
        <w:pStyle w:val="Prrafodelista"/>
      </w:pPr>
    </w:p>
    <w:p w14:paraId="4A116C17" w14:textId="158237B9" w:rsidR="277FEB88" w:rsidRDefault="277FEB88" w:rsidP="0FC63640">
      <w:pPr>
        <w:pStyle w:val="Prrafodelista"/>
        <w:numPr>
          <w:ilvl w:val="0"/>
          <w:numId w:val="2"/>
        </w:numPr>
      </w:pPr>
      <w:r>
        <w:t xml:space="preserve">Proporciona una lista de los materiales </w:t>
      </w:r>
      <w:r w:rsidR="1B447999">
        <w:t>complementarios</w:t>
      </w:r>
      <w:r>
        <w:t xml:space="preserve"> que sugieres para conocer más del caso. </w:t>
      </w:r>
      <w:r w:rsidR="6679D163">
        <w:t>No olvides señalar referencias completas e incluir</w:t>
      </w:r>
      <w:r>
        <w:t xml:space="preserve"> hipervínculos</w:t>
      </w:r>
      <w:r w:rsidR="4B396666">
        <w:t>.</w:t>
      </w:r>
      <w:r w:rsidR="596DB22A">
        <w:t xml:space="preserve"> (</w:t>
      </w:r>
      <w:proofErr w:type="spellStart"/>
      <w:r w:rsidR="596DB22A">
        <w:t>ej</w:t>
      </w:r>
      <w:proofErr w:type="spellEnd"/>
      <w:r w:rsidR="596DB22A">
        <w:t>:</w:t>
      </w:r>
      <w:r w:rsidR="6D0A61AC">
        <w:t xml:space="preserve"> </w:t>
      </w:r>
      <w:proofErr w:type="spellStart"/>
      <w:r w:rsidR="6D0A61AC" w:rsidRPr="0FC63640">
        <w:rPr>
          <w:rFonts w:ascii="Open Sans" w:eastAsia="Open Sans" w:hAnsi="Open Sans" w:cs="Open Sans"/>
          <w:color w:val="495057"/>
          <w:sz w:val="21"/>
          <w:szCs w:val="21"/>
        </w:rPr>
        <w:t>Bonifaz</w:t>
      </w:r>
      <w:proofErr w:type="spellEnd"/>
      <w:r w:rsidR="6D0A61AC" w:rsidRPr="0FC63640">
        <w:rPr>
          <w:rFonts w:ascii="Open Sans" w:eastAsia="Open Sans" w:hAnsi="Open Sans" w:cs="Open Sans"/>
          <w:color w:val="495057"/>
          <w:sz w:val="21"/>
          <w:szCs w:val="21"/>
        </w:rPr>
        <w:t xml:space="preserve"> Alfonso, B. (s.f.) </w:t>
      </w:r>
      <w:hyperlink r:id="rId12">
        <w:r w:rsidR="6D0A61AC" w:rsidRPr="0FC63640">
          <w:rPr>
            <w:rStyle w:val="Hipervnculo"/>
            <w:rFonts w:ascii="Open Sans" w:eastAsia="Open Sans" w:hAnsi="Open Sans" w:cs="Open Sans"/>
            <w:color w:val="23A30B"/>
            <w:sz w:val="21"/>
            <w:szCs w:val="21"/>
            <w:u w:val="none"/>
          </w:rPr>
          <w:t>El principio de paridad en las elecciones: aplicación, resultados y retos. SCJN.)</w:t>
        </w:r>
        <w:r w:rsidR="08DD2013" w:rsidRPr="0FC63640">
          <w:rPr>
            <w:rStyle w:val="Hipervnculo"/>
            <w:rFonts w:ascii="Open Sans" w:eastAsia="Open Sans" w:hAnsi="Open Sans" w:cs="Open Sans"/>
            <w:color w:val="23A30B"/>
            <w:sz w:val="21"/>
            <w:szCs w:val="21"/>
            <w:u w:val="none"/>
          </w:rPr>
          <w:t>.</w:t>
        </w:r>
      </w:hyperlink>
      <w:r w:rsidR="08DD2013" w:rsidRPr="0FC63640">
        <w:t xml:space="preserve"> Incluye al menos tres materiales complementarios.</w:t>
      </w:r>
    </w:p>
    <w:p w14:paraId="6E4352BF" w14:textId="77777777" w:rsidR="00356C26" w:rsidRDefault="00356C26" w:rsidP="00356C26">
      <w:pPr>
        <w:pStyle w:val="Prrafodelista"/>
      </w:pPr>
    </w:p>
    <w:p w14:paraId="3699367B" w14:textId="51A1E66A" w:rsidR="08DD2013" w:rsidRPr="00356C26" w:rsidRDefault="00356C26" w:rsidP="00356C26">
      <w:pPr>
        <w:pStyle w:val="Prrafodelista"/>
        <w:numPr>
          <w:ilvl w:val="1"/>
          <w:numId w:val="2"/>
        </w:numPr>
      </w:pPr>
      <w:hyperlink r:id="rId13" w:history="1">
        <w:r w:rsidRPr="00E90F3D">
          <w:rPr>
            <w:rStyle w:val="Hipervnculo"/>
            <w:rFonts w:ascii="Open Sans" w:eastAsia="Open Sans" w:hAnsi="Open Sans" w:cs="Open Sans"/>
            <w:sz w:val="21"/>
            <w:szCs w:val="21"/>
          </w:rPr>
          <w:t>https://centralelectoral.ine.mx/2021/01/04/improcedente-retirar-spots-de-radio-sobre-la-vacuna-de-covid-19/</w:t>
        </w:r>
      </w:hyperlink>
      <w:r w:rsidR="08DD2013" w:rsidRPr="0FC63640">
        <w:rPr>
          <w:rFonts w:ascii="Open Sans" w:eastAsia="Open Sans" w:hAnsi="Open Sans" w:cs="Open Sans"/>
          <w:color w:val="23A30B"/>
          <w:sz w:val="21"/>
          <w:szCs w:val="21"/>
        </w:rPr>
        <w:t xml:space="preserve"> </w:t>
      </w:r>
    </w:p>
    <w:p w14:paraId="474A84E0" w14:textId="77777777" w:rsidR="00356C26" w:rsidRDefault="00356C26" w:rsidP="00356C26">
      <w:pPr>
        <w:pStyle w:val="Prrafodelista"/>
        <w:ind w:left="1440"/>
      </w:pPr>
    </w:p>
    <w:p w14:paraId="13B65C72" w14:textId="6A24E81E" w:rsidR="00356C26" w:rsidRPr="00356C26" w:rsidRDefault="00356C26" w:rsidP="00356C26">
      <w:pPr>
        <w:pStyle w:val="Prrafodelista"/>
        <w:numPr>
          <w:ilvl w:val="1"/>
          <w:numId w:val="2"/>
        </w:numPr>
      </w:pPr>
      <w:hyperlink r:id="rId14" w:history="1">
        <w:r w:rsidRPr="00E90F3D">
          <w:rPr>
            <w:rStyle w:val="Hipervnculo"/>
            <w:rFonts w:ascii="Open Sans" w:eastAsia="Open Sans" w:hAnsi="Open Sans" w:cs="Open Sans"/>
            <w:sz w:val="21"/>
            <w:szCs w:val="21"/>
          </w:rPr>
          <w:t>https://repositoriodocumental.ine.mx/xmlui/bitstream/handle/123456789/116253/ACQyD-INE-1-2021-PES-1-21.pdf</w:t>
        </w:r>
      </w:hyperlink>
    </w:p>
    <w:p w14:paraId="24E9C681" w14:textId="77777777" w:rsidR="00356C26" w:rsidRPr="00356C26" w:rsidRDefault="00356C26" w:rsidP="00356C26">
      <w:pPr>
        <w:pStyle w:val="Prrafodelista"/>
        <w:rPr>
          <w:rFonts w:ascii="Open Sans" w:eastAsia="Open Sans" w:hAnsi="Open Sans" w:cs="Open Sans"/>
          <w:color w:val="23A30B"/>
          <w:sz w:val="21"/>
          <w:szCs w:val="21"/>
        </w:rPr>
      </w:pPr>
    </w:p>
    <w:p w14:paraId="17F56BA0" w14:textId="77777777" w:rsidR="00356C26" w:rsidRPr="00356C26" w:rsidRDefault="08DD2013" w:rsidP="00356C26">
      <w:pPr>
        <w:pStyle w:val="Prrafodelista"/>
        <w:numPr>
          <w:ilvl w:val="1"/>
          <w:numId w:val="2"/>
        </w:numPr>
      </w:pPr>
      <w:r w:rsidRPr="0FC63640">
        <w:rPr>
          <w:rFonts w:ascii="Open Sans" w:eastAsia="Open Sans" w:hAnsi="Open Sans" w:cs="Open Sans"/>
          <w:color w:val="23A30B"/>
          <w:sz w:val="21"/>
          <w:szCs w:val="21"/>
        </w:rPr>
        <w:t xml:space="preserve"> </w:t>
      </w:r>
      <w:hyperlink r:id="rId15" w:history="1">
        <w:r w:rsidR="00356C26" w:rsidRPr="00E90F3D">
          <w:rPr>
            <w:rStyle w:val="Hipervnculo"/>
            <w:rFonts w:ascii="Open Sans" w:eastAsia="Open Sans" w:hAnsi="Open Sans" w:cs="Open Sans"/>
            <w:sz w:val="21"/>
            <w:szCs w:val="21"/>
          </w:rPr>
          <w:t>https://aristeguinoticias.com/0401/mexico/ine-no-retirara-spot-de-morena-sobre-vacuna/</w:t>
        </w:r>
      </w:hyperlink>
    </w:p>
    <w:p w14:paraId="4B113EE2" w14:textId="77777777" w:rsidR="00356C26" w:rsidRDefault="00356C26" w:rsidP="00356C26">
      <w:pPr>
        <w:pStyle w:val="Prrafodelista"/>
      </w:pPr>
    </w:p>
    <w:p w14:paraId="1C3FE5DD" w14:textId="570A56FA" w:rsidR="00356C26" w:rsidRDefault="00356C26" w:rsidP="00356C26">
      <w:pPr>
        <w:pStyle w:val="Prrafodelista"/>
        <w:numPr>
          <w:ilvl w:val="1"/>
          <w:numId w:val="2"/>
        </w:numPr>
      </w:pPr>
      <w:hyperlink r:id="rId16" w:history="1">
        <w:r w:rsidRPr="00E90F3D">
          <w:rPr>
            <w:rStyle w:val="Hipervnculo"/>
          </w:rPr>
          <w:t>https://repositoriodocumental.ine.mx/xmlui/bitstream/handle/123456789/116780/ACQyD-INE-22-2021-PES-34-21.pdf</w:t>
        </w:r>
      </w:hyperlink>
    </w:p>
    <w:p w14:paraId="42B79F12" w14:textId="77777777" w:rsidR="00356C26" w:rsidRDefault="00356C26" w:rsidP="00356C26">
      <w:pPr>
        <w:pStyle w:val="Prrafodelista"/>
      </w:pPr>
    </w:p>
    <w:p w14:paraId="029C5D81" w14:textId="32F617E5" w:rsidR="00356C26" w:rsidRDefault="00356C26" w:rsidP="00356C26">
      <w:pPr>
        <w:pStyle w:val="Prrafodelista"/>
        <w:numPr>
          <w:ilvl w:val="1"/>
          <w:numId w:val="2"/>
        </w:numPr>
      </w:pPr>
      <w:hyperlink r:id="rId17" w:history="1">
        <w:r w:rsidRPr="00E90F3D">
          <w:rPr>
            <w:rStyle w:val="Hipervnculo"/>
          </w:rPr>
          <w:t>https://repositoriodocumental.ine.mx/xmlui/bitstream/handle/123456789/117994/ACQyD-INE-39-2021-PES-47-21.pdf</w:t>
        </w:r>
      </w:hyperlink>
    </w:p>
    <w:p w14:paraId="25FF76BF" w14:textId="77777777" w:rsidR="00356C26" w:rsidRDefault="00356C26" w:rsidP="00356C26">
      <w:pPr>
        <w:pStyle w:val="Prrafodelista"/>
      </w:pPr>
    </w:p>
    <w:p w14:paraId="452C9BA9" w14:textId="669B69C5" w:rsidR="00356C26" w:rsidRDefault="00356C26" w:rsidP="00356C26">
      <w:pPr>
        <w:pStyle w:val="Prrafodelista"/>
        <w:numPr>
          <w:ilvl w:val="1"/>
          <w:numId w:val="2"/>
        </w:numPr>
      </w:pPr>
      <w:hyperlink r:id="rId18" w:history="1">
        <w:r w:rsidRPr="00E90F3D">
          <w:rPr>
            <w:rStyle w:val="Hipervnculo"/>
          </w:rPr>
          <w:t>https://www.te.gob.mx/EE/SUP/2021/REP/62/SUP_2021_REP_62-966518.pdf</w:t>
        </w:r>
      </w:hyperlink>
    </w:p>
    <w:p w14:paraId="73359FFA" w14:textId="77777777" w:rsidR="00356C26" w:rsidRDefault="00356C26" w:rsidP="00356C26">
      <w:pPr>
        <w:pStyle w:val="Prrafodelista"/>
      </w:pPr>
    </w:p>
    <w:p w14:paraId="359EBC59" w14:textId="43DFCAF3" w:rsidR="00356C26" w:rsidRDefault="00356C26" w:rsidP="00356C26">
      <w:pPr>
        <w:pStyle w:val="Prrafodelista"/>
        <w:numPr>
          <w:ilvl w:val="1"/>
          <w:numId w:val="2"/>
        </w:numPr>
      </w:pPr>
      <w:hyperlink r:id="rId19" w:history="1">
        <w:r w:rsidRPr="00E90F3D">
          <w:rPr>
            <w:rStyle w:val="Hipervnculo"/>
          </w:rPr>
          <w:t>https://www.eleconomista.com.mx/politica/TEPJF-avala-medidas-cautelares-del-INE-contra-Morena-por-supuesto-uso-politico-de-vacunas-contra-Covid-20210310-0130.html</w:t>
        </w:r>
      </w:hyperlink>
    </w:p>
    <w:p w14:paraId="7B79AAFC" w14:textId="77777777" w:rsidR="00356C26" w:rsidRDefault="00356C26" w:rsidP="00356C26">
      <w:pPr>
        <w:pStyle w:val="Prrafodelista"/>
      </w:pPr>
    </w:p>
    <w:p w14:paraId="62D3A93E" w14:textId="5E94B671" w:rsidR="00356C26" w:rsidRDefault="00356C26" w:rsidP="00356C26">
      <w:pPr>
        <w:pStyle w:val="Prrafodelista"/>
        <w:numPr>
          <w:ilvl w:val="1"/>
          <w:numId w:val="2"/>
        </w:numPr>
      </w:pPr>
      <w:hyperlink r:id="rId20" w:history="1">
        <w:r w:rsidRPr="00E90F3D">
          <w:rPr>
            <w:rStyle w:val="Hipervnculo"/>
          </w:rPr>
          <w:t>https://www.te.gob.mx/salasreg/ejecutoria/sentencias/especializada/SRE-PSC-0071-2021.pdf</w:t>
        </w:r>
      </w:hyperlink>
    </w:p>
    <w:p w14:paraId="006740CC" w14:textId="77777777" w:rsidR="00356C26" w:rsidRDefault="00356C26" w:rsidP="00356C26">
      <w:pPr>
        <w:pStyle w:val="Prrafodelista"/>
      </w:pPr>
    </w:p>
    <w:p w14:paraId="06F5BAC6" w14:textId="75B43412" w:rsidR="00356C26" w:rsidRDefault="00356C26" w:rsidP="00356C26">
      <w:pPr>
        <w:pStyle w:val="Prrafodelista"/>
        <w:numPr>
          <w:ilvl w:val="1"/>
          <w:numId w:val="2"/>
        </w:numPr>
      </w:pPr>
      <w:hyperlink r:id="rId21" w:history="1">
        <w:r w:rsidRPr="00E90F3D">
          <w:rPr>
            <w:rStyle w:val="Hipervnculo"/>
          </w:rPr>
          <w:t>https://www.te.gob.mx/front3/bulletins/detail/4155/0</w:t>
        </w:r>
      </w:hyperlink>
    </w:p>
    <w:p w14:paraId="1D3E7F24" w14:textId="77777777" w:rsidR="00356C26" w:rsidRDefault="00356C26" w:rsidP="00356C26">
      <w:pPr>
        <w:pStyle w:val="Prrafodelista"/>
      </w:pPr>
    </w:p>
    <w:p w14:paraId="21DE9D21" w14:textId="0081F5A6" w:rsidR="08DD2013" w:rsidRDefault="08DD2013" w:rsidP="00356C26"/>
    <w:p w14:paraId="579F8B7C" w14:textId="71A6FD1B" w:rsidR="557EA9F2" w:rsidRDefault="557EA9F2" w:rsidP="0FC63640">
      <w:pPr>
        <w:pStyle w:val="Prrafodelista"/>
        <w:numPr>
          <w:ilvl w:val="0"/>
          <w:numId w:val="2"/>
        </w:numPr>
      </w:pPr>
      <w:r w:rsidRPr="0FC63640">
        <w:t>Señala las preguntas sobre el caso que deberán responder tus compañeros antes de clase.</w:t>
      </w:r>
    </w:p>
    <w:p w14:paraId="5A503280" w14:textId="4A041510" w:rsidR="6F48DEA9" w:rsidRDefault="6F48DEA9" w:rsidP="0FC63640">
      <w:pPr>
        <w:pStyle w:val="Prrafodelista"/>
        <w:numPr>
          <w:ilvl w:val="1"/>
          <w:numId w:val="2"/>
        </w:numPr>
      </w:pPr>
      <w:r w:rsidRPr="0FC63640">
        <w:t xml:space="preserve"> </w:t>
      </w:r>
      <w:r w:rsidR="00025777">
        <w:t>¿Consideras que los promocionales de Morena provocan confusión en la población a favor del partido?</w:t>
      </w:r>
      <w:r>
        <w:br/>
      </w:r>
      <w:r w:rsidRPr="0FC63640">
        <w:t xml:space="preserve"> </w:t>
      </w:r>
    </w:p>
    <w:p w14:paraId="086DB8A4" w14:textId="370D0A79" w:rsidR="0FC63640" w:rsidRDefault="00025777" w:rsidP="00252250">
      <w:pPr>
        <w:pStyle w:val="Prrafodelista"/>
        <w:numPr>
          <w:ilvl w:val="1"/>
          <w:numId w:val="2"/>
        </w:numPr>
      </w:pPr>
      <w:r>
        <w:t>¿Cuál es la legislación aplicable al caso?</w:t>
      </w:r>
      <w:r w:rsidR="00252250">
        <w:t xml:space="preserve"> </w:t>
      </w:r>
      <w:r w:rsidR="0FC63640">
        <w:br/>
      </w:r>
      <w:r w:rsidR="6F48DEA9" w:rsidRPr="0FC63640">
        <w:t xml:space="preserve"> </w:t>
      </w:r>
    </w:p>
    <w:p w14:paraId="2261C0D7" w14:textId="6D88C5EB" w:rsidR="0FC63640" w:rsidRDefault="00252250" w:rsidP="0FC63640">
      <w:pPr>
        <w:pStyle w:val="Prrafodelista"/>
        <w:numPr>
          <w:ilvl w:val="1"/>
          <w:numId w:val="2"/>
        </w:numPr>
      </w:pPr>
      <w:r>
        <w:t xml:space="preserve">¿Atribuyes las estrategias de manejo de la pandemia a la ideología política de Morena? </w:t>
      </w:r>
      <w:r w:rsidR="0FC63640">
        <w:br/>
      </w:r>
      <w:r w:rsidR="6F48DEA9" w:rsidRPr="0FC63640">
        <w:t xml:space="preserve"> </w:t>
      </w:r>
    </w:p>
    <w:p w14:paraId="7EC8412F" w14:textId="3CCDF43D" w:rsidR="6F48DEA9" w:rsidRDefault="00025777" w:rsidP="0FC63640">
      <w:pPr>
        <w:pStyle w:val="Prrafodelista"/>
        <w:numPr>
          <w:ilvl w:val="1"/>
          <w:numId w:val="2"/>
        </w:numPr>
      </w:pPr>
      <w:r>
        <w:t xml:space="preserve">¿Consideras </w:t>
      </w:r>
      <w:r w:rsidR="00252250">
        <w:t xml:space="preserve">que </w:t>
      </w:r>
      <w:r>
        <w:t xml:space="preserve">la multa </w:t>
      </w:r>
      <w:r w:rsidR="00252250">
        <w:t>impuesta al partido genera una problemática presupuestal para continuar con la campaña electoral?</w:t>
      </w:r>
    </w:p>
    <w:p w14:paraId="2A653434" w14:textId="77777777" w:rsidR="00252250" w:rsidRDefault="00252250" w:rsidP="00252250">
      <w:pPr>
        <w:pStyle w:val="Prrafodelista"/>
      </w:pPr>
    </w:p>
    <w:p w14:paraId="48EF9648" w14:textId="51E41CDA" w:rsidR="00252250" w:rsidRDefault="00B06BE1" w:rsidP="0FC63640">
      <w:pPr>
        <w:pStyle w:val="Prrafodelista"/>
        <w:numPr>
          <w:ilvl w:val="1"/>
          <w:numId w:val="2"/>
        </w:numPr>
      </w:pPr>
      <w:r>
        <w:t>¿Cómo contribuye el INE y el TEPJF a disminuir el uso indebido de programas sociales?</w:t>
      </w:r>
    </w:p>
    <w:p w14:paraId="59CE567F" w14:textId="5B47EC93" w:rsidR="0FC63640" w:rsidRDefault="0FC63640" w:rsidP="0FC63640">
      <w:pPr>
        <w:pStyle w:val="Prrafodelista"/>
        <w:ind w:left="1440"/>
      </w:pPr>
    </w:p>
    <w:p w14:paraId="7BC9B699" w14:textId="077B3185" w:rsidR="0FC63640" w:rsidRDefault="0FC63640" w:rsidP="0FC63640"/>
    <w:sectPr w:rsidR="0FC63640" w:rsidSect="008A61D0">
      <w:headerReference w:type="default" r:id="rId22"/>
      <w:footerReference w:type="default" r:id="rId23"/>
      <w:pgSz w:w="11906" w:h="16838"/>
      <w:pgMar w:top="1417" w:right="1701" w:bottom="1417" w:left="1701" w:header="708"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975CA" w14:textId="77777777" w:rsidR="00DE3F48" w:rsidRDefault="00DE3F48" w:rsidP="001B2354">
      <w:pPr>
        <w:spacing w:after="0" w:line="240" w:lineRule="auto"/>
      </w:pPr>
      <w:r>
        <w:separator/>
      </w:r>
    </w:p>
  </w:endnote>
  <w:endnote w:type="continuationSeparator" w:id="0">
    <w:p w14:paraId="1942797C" w14:textId="77777777" w:rsidR="00DE3F48" w:rsidRDefault="00DE3F48" w:rsidP="001B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830"/>
      <w:gridCol w:w="2830"/>
      <w:gridCol w:w="2830"/>
    </w:tblGrid>
    <w:tr w:rsidR="4C758410" w14:paraId="15B35418" w14:textId="77777777" w:rsidTr="4C758410">
      <w:tc>
        <w:tcPr>
          <w:tcW w:w="2830" w:type="dxa"/>
        </w:tcPr>
        <w:p w14:paraId="01985A61" w14:textId="5AF5939E" w:rsidR="4C758410" w:rsidRDefault="4C758410" w:rsidP="4C758410">
          <w:pPr>
            <w:pStyle w:val="Encabezado"/>
            <w:ind w:left="-115"/>
          </w:pPr>
        </w:p>
      </w:tc>
      <w:tc>
        <w:tcPr>
          <w:tcW w:w="2830" w:type="dxa"/>
        </w:tcPr>
        <w:p w14:paraId="704BD09D" w14:textId="046E4D21" w:rsidR="4C758410" w:rsidRDefault="4C758410" w:rsidP="4C758410">
          <w:pPr>
            <w:pStyle w:val="Encabezado"/>
            <w:jc w:val="center"/>
          </w:pPr>
        </w:p>
      </w:tc>
      <w:tc>
        <w:tcPr>
          <w:tcW w:w="2830" w:type="dxa"/>
        </w:tcPr>
        <w:p w14:paraId="0F6B83AD" w14:textId="52990501" w:rsidR="4C758410" w:rsidRDefault="4C758410" w:rsidP="4C758410">
          <w:pPr>
            <w:pStyle w:val="Encabezado"/>
            <w:ind w:right="-115"/>
            <w:jc w:val="right"/>
          </w:pPr>
        </w:p>
      </w:tc>
    </w:tr>
  </w:tbl>
  <w:p w14:paraId="0213C34B" w14:textId="759AB604" w:rsidR="4C758410" w:rsidRDefault="4C758410" w:rsidP="4C7584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6B6B6" w14:textId="77777777" w:rsidR="00DE3F48" w:rsidRDefault="00DE3F48" w:rsidP="001B2354">
      <w:pPr>
        <w:spacing w:after="0" w:line="240" w:lineRule="auto"/>
      </w:pPr>
      <w:r>
        <w:separator/>
      </w:r>
    </w:p>
  </w:footnote>
  <w:footnote w:type="continuationSeparator" w:id="0">
    <w:p w14:paraId="5837355A" w14:textId="77777777" w:rsidR="00DE3F48" w:rsidRDefault="00DE3F48" w:rsidP="001B23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4" w:type="dxa"/>
      <w:tblLayout w:type="fixed"/>
      <w:tblLook w:val="06A0" w:firstRow="1" w:lastRow="0" w:firstColumn="1" w:lastColumn="0" w:noHBand="1" w:noVBand="1"/>
    </w:tblPr>
    <w:tblGrid>
      <w:gridCol w:w="2741"/>
      <w:gridCol w:w="5224"/>
      <w:gridCol w:w="259"/>
    </w:tblGrid>
    <w:tr w:rsidR="4C758410" w14:paraId="4ADCC4E9" w14:textId="77777777" w:rsidTr="0FC63640">
      <w:trPr>
        <w:trHeight w:val="905"/>
      </w:trPr>
      <w:tc>
        <w:tcPr>
          <w:tcW w:w="2741" w:type="dxa"/>
        </w:tcPr>
        <w:p w14:paraId="080E463D" w14:textId="2EDBEC0B" w:rsidR="4C758410" w:rsidRDefault="4C758410" w:rsidP="008A61D0">
          <w:pPr>
            <w:pStyle w:val="Encabezado"/>
          </w:pPr>
          <w:r>
            <w:rPr>
              <w:noProof/>
              <w:lang w:eastAsia="es-MX"/>
            </w:rPr>
            <w:drawing>
              <wp:inline distT="0" distB="0" distL="0" distR="0" wp14:anchorId="284C34D2" wp14:editId="423DCDE8">
                <wp:extent cx="958362" cy="9583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64387" cy="964387"/>
                        </a:xfrm>
                        <a:prstGeom prst="rect">
                          <a:avLst/>
                        </a:prstGeom>
                      </pic:spPr>
                    </pic:pic>
                  </a:graphicData>
                </a:graphic>
              </wp:inline>
            </w:drawing>
          </w:r>
        </w:p>
      </w:tc>
      <w:tc>
        <w:tcPr>
          <w:tcW w:w="5224" w:type="dxa"/>
        </w:tcPr>
        <w:p w14:paraId="643B3104" w14:textId="16BA11CA" w:rsidR="4C758410" w:rsidRDefault="0FC63640" w:rsidP="0FC63640">
          <w:pPr>
            <w:jc w:val="center"/>
            <w:rPr>
              <w:rFonts w:ascii="Calibri" w:eastAsia="Calibri" w:hAnsi="Calibri" w:cs="Calibri"/>
              <w:color w:val="000000" w:themeColor="text1"/>
            </w:rPr>
          </w:pPr>
          <w:r w:rsidRPr="0FC63640">
            <w:rPr>
              <w:rFonts w:ascii="Calibri" w:eastAsia="Calibri" w:hAnsi="Calibri" w:cs="Calibri"/>
              <w:b/>
              <w:bCs/>
              <w:color w:val="000000" w:themeColor="text1"/>
            </w:rPr>
            <w:t>Metodología para la Investigación Social II</w:t>
          </w:r>
        </w:p>
        <w:p w14:paraId="387CEDBE" w14:textId="4BD6E6D1" w:rsidR="4C758410" w:rsidRDefault="0FC63640" w:rsidP="0FC63640">
          <w:pPr>
            <w:jc w:val="center"/>
            <w:rPr>
              <w:rFonts w:ascii="Calibri" w:eastAsia="Calibri" w:hAnsi="Calibri" w:cs="Calibri"/>
              <w:color w:val="000000" w:themeColor="text1"/>
            </w:rPr>
          </w:pPr>
          <w:r w:rsidRPr="0FC63640">
            <w:rPr>
              <w:rFonts w:ascii="Calibri" w:eastAsia="Calibri" w:hAnsi="Calibri" w:cs="Calibri"/>
              <w:b/>
              <w:bCs/>
              <w:color w:val="000000" w:themeColor="text1"/>
            </w:rPr>
            <w:t>Trimestre 24-P</w:t>
          </w:r>
        </w:p>
        <w:p w14:paraId="1F34BB05" w14:textId="4EED033A" w:rsidR="4C758410" w:rsidRDefault="4C758410" w:rsidP="1720E394">
          <w:pPr>
            <w:jc w:val="center"/>
          </w:pPr>
        </w:p>
      </w:tc>
      <w:tc>
        <w:tcPr>
          <w:tcW w:w="259" w:type="dxa"/>
        </w:tcPr>
        <w:p w14:paraId="0B30ACB3" w14:textId="28D3CBA6" w:rsidR="4C758410" w:rsidRDefault="4C758410" w:rsidP="4C758410">
          <w:pPr>
            <w:pStyle w:val="Encabezado"/>
            <w:ind w:right="-115"/>
            <w:jc w:val="right"/>
          </w:pPr>
        </w:p>
      </w:tc>
    </w:tr>
  </w:tbl>
  <w:p w14:paraId="28BA2297" w14:textId="3A6CE9B4" w:rsidR="4C758410" w:rsidRDefault="4C758410" w:rsidP="4C7584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D9A52"/>
    <w:multiLevelType w:val="hybridMultilevel"/>
    <w:tmpl w:val="E32819FC"/>
    <w:lvl w:ilvl="0" w:tplc="228469E0">
      <w:start w:val="1"/>
      <w:numFmt w:val="decimal"/>
      <w:lvlText w:val="%1."/>
      <w:lvlJc w:val="left"/>
      <w:pPr>
        <w:ind w:left="720" w:hanging="360"/>
      </w:pPr>
    </w:lvl>
    <w:lvl w:ilvl="1" w:tplc="4CD26356">
      <w:start w:val="1"/>
      <w:numFmt w:val="lowerLetter"/>
      <w:lvlText w:val="%2."/>
      <w:lvlJc w:val="left"/>
      <w:pPr>
        <w:ind w:left="1440" w:hanging="360"/>
      </w:pPr>
    </w:lvl>
    <w:lvl w:ilvl="2" w:tplc="62FE423A">
      <w:start w:val="1"/>
      <w:numFmt w:val="lowerRoman"/>
      <w:lvlText w:val="%3."/>
      <w:lvlJc w:val="right"/>
      <w:pPr>
        <w:ind w:left="2160" w:hanging="180"/>
      </w:pPr>
    </w:lvl>
    <w:lvl w:ilvl="3" w:tplc="22EE5A92">
      <w:start w:val="1"/>
      <w:numFmt w:val="decimal"/>
      <w:lvlText w:val="%4."/>
      <w:lvlJc w:val="left"/>
      <w:pPr>
        <w:ind w:left="2880" w:hanging="360"/>
      </w:pPr>
    </w:lvl>
    <w:lvl w:ilvl="4" w:tplc="FE161FDA">
      <w:start w:val="1"/>
      <w:numFmt w:val="lowerLetter"/>
      <w:lvlText w:val="%5."/>
      <w:lvlJc w:val="left"/>
      <w:pPr>
        <w:ind w:left="3600" w:hanging="360"/>
      </w:pPr>
    </w:lvl>
    <w:lvl w:ilvl="5" w:tplc="631476CA">
      <w:start w:val="1"/>
      <w:numFmt w:val="lowerRoman"/>
      <w:lvlText w:val="%6."/>
      <w:lvlJc w:val="right"/>
      <w:pPr>
        <w:ind w:left="4320" w:hanging="180"/>
      </w:pPr>
    </w:lvl>
    <w:lvl w:ilvl="6" w:tplc="99F25862">
      <w:start w:val="1"/>
      <w:numFmt w:val="decimal"/>
      <w:lvlText w:val="%7."/>
      <w:lvlJc w:val="left"/>
      <w:pPr>
        <w:ind w:left="5040" w:hanging="360"/>
      </w:pPr>
    </w:lvl>
    <w:lvl w:ilvl="7" w:tplc="05FCDE90">
      <w:start w:val="1"/>
      <w:numFmt w:val="lowerLetter"/>
      <w:lvlText w:val="%8."/>
      <w:lvlJc w:val="left"/>
      <w:pPr>
        <w:ind w:left="5760" w:hanging="360"/>
      </w:pPr>
    </w:lvl>
    <w:lvl w:ilvl="8" w:tplc="DE5641FE">
      <w:start w:val="1"/>
      <w:numFmt w:val="lowerRoman"/>
      <w:lvlText w:val="%9."/>
      <w:lvlJc w:val="right"/>
      <w:pPr>
        <w:ind w:left="6480" w:hanging="180"/>
      </w:pPr>
    </w:lvl>
  </w:abstractNum>
  <w:abstractNum w:abstractNumId="1" w15:restartNumberingAfterBreak="0">
    <w:nsid w:val="23A718F4"/>
    <w:multiLevelType w:val="hybridMultilevel"/>
    <w:tmpl w:val="E9F60582"/>
    <w:lvl w:ilvl="0" w:tplc="9CF27A62">
      <w:start w:val="1"/>
      <w:numFmt w:val="decimal"/>
      <w:lvlText w:val="%1."/>
      <w:lvlJc w:val="left"/>
      <w:pPr>
        <w:ind w:left="720" w:hanging="360"/>
      </w:pPr>
    </w:lvl>
    <w:lvl w:ilvl="1" w:tplc="9782E47A">
      <w:start w:val="1"/>
      <w:numFmt w:val="lowerLetter"/>
      <w:lvlText w:val="%2."/>
      <w:lvlJc w:val="left"/>
      <w:pPr>
        <w:ind w:left="1440" w:hanging="360"/>
      </w:pPr>
    </w:lvl>
    <w:lvl w:ilvl="2" w:tplc="A8AC3F76">
      <w:start w:val="1"/>
      <w:numFmt w:val="lowerRoman"/>
      <w:lvlText w:val="%3."/>
      <w:lvlJc w:val="right"/>
      <w:pPr>
        <w:ind w:left="2160" w:hanging="180"/>
      </w:pPr>
    </w:lvl>
    <w:lvl w:ilvl="3" w:tplc="E89EB3DE">
      <w:start w:val="1"/>
      <w:numFmt w:val="decimal"/>
      <w:lvlText w:val="%4."/>
      <w:lvlJc w:val="left"/>
      <w:pPr>
        <w:ind w:left="2880" w:hanging="360"/>
      </w:pPr>
    </w:lvl>
    <w:lvl w:ilvl="4" w:tplc="E08CDC52">
      <w:start w:val="1"/>
      <w:numFmt w:val="lowerLetter"/>
      <w:lvlText w:val="%5."/>
      <w:lvlJc w:val="left"/>
      <w:pPr>
        <w:ind w:left="3600" w:hanging="360"/>
      </w:pPr>
    </w:lvl>
    <w:lvl w:ilvl="5" w:tplc="B4081324">
      <w:start w:val="1"/>
      <w:numFmt w:val="lowerRoman"/>
      <w:lvlText w:val="%6."/>
      <w:lvlJc w:val="right"/>
      <w:pPr>
        <w:ind w:left="4320" w:hanging="180"/>
      </w:pPr>
    </w:lvl>
    <w:lvl w:ilvl="6" w:tplc="911C89A6">
      <w:start w:val="1"/>
      <w:numFmt w:val="decimal"/>
      <w:lvlText w:val="%7."/>
      <w:lvlJc w:val="left"/>
      <w:pPr>
        <w:ind w:left="5040" w:hanging="360"/>
      </w:pPr>
    </w:lvl>
    <w:lvl w:ilvl="7" w:tplc="1466CF02">
      <w:start w:val="1"/>
      <w:numFmt w:val="lowerLetter"/>
      <w:lvlText w:val="%8."/>
      <w:lvlJc w:val="left"/>
      <w:pPr>
        <w:ind w:left="5760" w:hanging="360"/>
      </w:pPr>
    </w:lvl>
    <w:lvl w:ilvl="8" w:tplc="091832E0">
      <w:start w:val="1"/>
      <w:numFmt w:val="lowerRoman"/>
      <w:lvlText w:val="%9."/>
      <w:lvlJc w:val="right"/>
      <w:pPr>
        <w:ind w:left="6480" w:hanging="180"/>
      </w:pPr>
    </w:lvl>
  </w:abstractNum>
  <w:abstractNum w:abstractNumId="2" w15:restartNumberingAfterBreak="0">
    <w:nsid w:val="2A5B1EF9"/>
    <w:multiLevelType w:val="hybridMultilevel"/>
    <w:tmpl w:val="EA06801C"/>
    <w:lvl w:ilvl="0" w:tplc="1C706658">
      <w:start w:val="1"/>
      <w:numFmt w:val="bullet"/>
      <w:lvlText w:val=""/>
      <w:lvlJc w:val="left"/>
      <w:pPr>
        <w:ind w:left="720" w:hanging="360"/>
      </w:pPr>
      <w:rPr>
        <w:rFonts w:ascii="Symbol" w:hAnsi="Symbol" w:hint="default"/>
      </w:rPr>
    </w:lvl>
    <w:lvl w:ilvl="1" w:tplc="9E72ECC2">
      <w:start w:val="1"/>
      <w:numFmt w:val="bullet"/>
      <w:lvlText w:val="o"/>
      <w:lvlJc w:val="left"/>
      <w:pPr>
        <w:ind w:left="1440" w:hanging="360"/>
      </w:pPr>
      <w:rPr>
        <w:rFonts w:ascii="Courier New" w:hAnsi="Courier New" w:hint="default"/>
      </w:rPr>
    </w:lvl>
    <w:lvl w:ilvl="2" w:tplc="4FE0B97E">
      <w:start w:val="1"/>
      <w:numFmt w:val="bullet"/>
      <w:lvlText w:val=""/>
      <w:lvlJc w:val="left"/>
      <w:pPr>
        <w:ind w:left="2160" w:hanging="360"/>
      </w:pPr>
      <w:rPr>
        <w:rFonts w:ascii="Wingdings" w:hAnsi="Wingdings" w:hint="default"/>
      </w:rPr>
    </w:lvl>
    <w:lvl w:ilvl="3" w:tplc="B0CE63CE">
      <w:start w:val="1"/>
      <w:numFmt w:val="bullet"/>
      <w:lvlText w:val=""/>
      <w:lvlJc w:val="left"/>
      <w:pPr>
        <w:ind w:left="2880" w:hanging="360"/>
      </w:pPr>
      <w:rPr>
        <w:rFonts w:ascii="Symbol" w:hAnsi="Symbol" w:hint="default"/>
      </w:rPr>
    </w:lvl>
    <w:lvl w:ilvl="4" w:tplc="3D9E6B2C">
      <w:start w:val="1"/>
      <w:numFmt w:val="bullet"/>
      <w:lvlText w:val="o"/>
      <w:lvlJc w:val="left"/>
      <w:pPr>
        <w:ind w:left="3600" w:hanging="360"/>
      </w:pPr>
      <w:rPr>
        <w:rFonts w:ascii="Courier New" w:hAnsi="Courier New" w:hint="default"/>
      </w:rPr>
    </w:lvl>
    <w:lvl w:ilvl="5" w:tplc="FA18155E">
      <w:start w:val="1"/>
      <w:numFmt w:val="bullet"/>
      <w:lvlText w:val=""/>
      <w:lvlJc w:val="left"/>
      <w:pPr>
        <w:ind w:left="4320" w:hanging="360"/>
      </w:pPr>
      <w:rPr>
        <w:rFonts w:ascii="Wingdings" w:hAnsi="Wingdings" w:hint="default"/>
      </w:rPr>
    </w:lvl>
    <w:lvl w:ilvl="6" w:tplc="2544210E">
      <w:start w:val="1"/>
      <w:numFmt w:val="bullet"/>
      <w:lvlText w:val=""/>
      <w:lvlJc w:val="left"/>
      <w:pPr>
        <w:ind w:left="5040" w:hanging="360"/>
      </w:pPr>
      <w:rPr>
        <w:rFonts w:ascii="Symbol" w:hAnsi="Symbol" w:hint="default"/>
      </w:rPr>
    </w:lvl>
    <w:lvl w:ilvl="7" w:tplc="9EEE8F02">
      <w:start w:val="1"/>
      <w:numFmt w:val="bullet"/>
      <w:lvlText w:val="o"/>
      <w:lvlJc w:val="left"/>
      <w:pPr>
        <w:ind w:left="5760" w:hanging="360"/>
      </w:pPr>
      <w:rPr>
        <w:rFonts w:ascii="Courier New" w:hAnsi="Courier New" w:hint="default"/>
      </w:rPr>
    </w:lvl>
    <w:lvl w:ilvl="8" w:tplc="D32A86FE">
      <w:start w:val="1"/>
      <w:numFmt w:val="bullet"/>
      <w:lvlText w:val=""/>
      <w:lvlJc w:val="left"/>
      <w:pPr>
        <w:ind w:left="6480" w:hanging="360"/>
      </w:pPr>
      <w:rPr>
        <w:rFonts w:ascii="Wingdings" w:hAnsi="Wingdings" w:hint="default"/>
      </w:rPr>
    </w:lvl>
  </w:abstractNum>
  <w:abstractNum w:abstractNumId="3" w15:restartNumberingAfterBreak="0">
    <w:nsid w:val="3E70F158"/>
    <w:multiLevelType w:val="hybridMultilevel"/>
    <w:tmpl w:val="DFAC4E9E"/>
    <w:lvl w:ilvl="0" w:tplc="5E44E286">
      <w:start w:val="1"/>
      <w:numFmt w:val="bullet"/>
      <w:lvlText w:val=""/>
      <w:lvlJc w:val="left"/>
      <w:pPr>
        <w:ind w:left="720" w:hanging="360"/>
      </w:pPr>
      <w:rPr>
        <w:rFonts w:ascii="Symbol" w:hAnsi="Symbol" w:hint="default"/>
      </w:rPr>
    </w:lvl>
    <w:lvl w:ilvl="1" w:tplc="BD0ADBEA">
      <w:start w:val="1"/>
      <w:numFmt w:val="bullet"/>
      <w:lvlText w:val="o"/>
      <w:lvlJc w:val="left"/>
      <w:pPr>
        <w:ind w:left="1440" w:hanging="360"/>
      </w:pPr>
      <w:rPr>
        <w:rFonts w:ascii="Courier New" w:hAnsi="Courier New" w:hint="default"/>
      </w:rPr>
    </w:lvl>
    <w:lvl w:ilvl="2" w:tplc="2124C286">
      <w:start w:val="1"/>
      <w:numFmt w:val="bullet"/>
      <w:lvlText w:val=""/>
      <w:lvlJc w:val="left"/>
      <w:pPr>
        <w:ind w:left="2160" w:hanging="360"/>
      </w:pPr>
      <w:rPr>
        <w:rFonts w:ascii="Wingdings" w:hAnsi="Wingdings" w:hint="default"/>
      </w:rPr>
    </w:lvl>
    <w:lvl w:ilvl="3" w:tplc="1758031E">
      <w:start w:val="1"/>
      <w:numFmt w:val="bullet"/>
      <w:lvlText w:val=""/>
      <w:lvlJc w:val="left"/>
      <w:pPr>
        <w:ind w:left="2880" w:hanging="360"/>
      </w:pPr>
      <w:rPr>
        <w:rFonts w:ascii="Symbol" w:hAnsi="Symbol" w:hint="default"/>
      </w:rPr>
    </w:lvl>
    <w:lvl w:ilvl="4" w:tplc="ED4283A6">
      <w:start w:val="1"/>
      <w:numFmt w:val="bullet"/>
      <w:lvlText w:val="o"/>
      <w:lvlJc w:val="left"/>
      <w:pPr>
        <w:ind w:left="3600" w:hanging="360"/>
      </w:pPr>
      <w:rPr>
        <w:rFonts w:ascii="Courier New" w:hAnsi="Courier New" w:hint="default"/>
      </w:rPr>
    </w:lvl>
    <w:lvl w:ilvl="5" w:tplc="DC74CA10">
      <w:start w:val="1"/>
      <w:numFmt w:val="bullet"/>
      <w:lvlText w:val=""/>
      <w:lvlJc w:val="left"/>
      <w:pPr>
        <w:ind w:left="4320" w:hanging="360"/>
      </w:pPr>
      <w:rPr>
        <w:rFonts w:ascii="Wingdings" w:hAnsi="Wingdings" w:hint="default"/>
      </w:rPr>
    </w:lvl>
    <w:lvl w:ilvl="6" w:tplc="3F003064">
      <w:start w:val="1"/>
      <w:numFmt w:val="bullet"/>
      <w:lvlText w:val=""/>
      <w:lvlJc w:val="left"/>
      <w:pPr>
        <w:ind w:left="5040" w:hanging="360"/>
      </w:pPr>
      <w:rPr>
        <w:rFonts w:ascii="Symbol" w:hAnsi="Symbol" w:hint="default"/>
      </w:rPr>
    </w:lvl>
    <w:lvl w:ilvl="7" w:tplc="BB203CB2">
      <w:start w:val="1"/>
      <w:numFmt w:val="bullet"/>
      <w:lvlText w:val="o"/>
      <w:lvlJc w:val="left"/>
      <w:pPr>
        <w:ind w:left="5760" w:hanging="360"/>
      </w:pPr>
      <w:rPr>
        <w:rFonts w:ascii="Courier New" w:hAnsi="Courier New" w:hint="default"/>
      </w:rPr>
    </w:lvl>
    <w:lvl w:ilvl="8" w:tplc="C472EC92">
      <w:start w:val="1"/>
      <w:numFmt w:val="bullet"/>
      <w:lvlText w:val=""/>
      <w:lvlJc w:val="left"/>
      <w:pPr>
        <w:ind w:left="6480" w:hanging="360"/>
      </w:pPr>
      <w:rPr>
        <w:rFonts w:ascii="Wingdings" w:hAnsi="Wingdings" w:hint="default"/>
      </w:rPr>
    </w:lvl>
  </w:abstractNum>
  <w:abstractNum w:abstractNumId="4" w15:restartNumberingAfterBreak="0">
    <w:nsid w:val="67520446"/>
    <w:multiLevelType w:val="hybridMultilevel"/>
    <w:tmpl w:val="47F266E4"/>
    <w:lvl w:ilvl="0" w:tplc="CE705EC4">
      <w:start w:val="1"/>
      <w:numFmt w:val="decimal"/>
      <w:lvlText w:val="%1."/>
      <w:lvlJc w:val="left"/>
      <w:pPr>
        <w:ind w:left="720" w:hanging="360"/>
      </w:pPr>
    </w:lvl>
    <w:lvl w:ilvl="1" w:tplc="0F0489A0">
      <w:start w:val="1"/>
      <w:numFmt w:val="upperRoman"/>
      <w:lvlText w:val="%2."/>
      <w:lvlJc w:val="right"/>
      <w:pPr>
        <w:ind w:left="1440" w:hanging="360"/>
      </w:pPr>
    </w:lvl>
    <w:lvl w:ilvl="2" w:tplc="2332B416">
      <w:start w:val="1"/>
      <w:numFmt w:val="lowerRoman"/>
      <w:lvlText w:val="%3."/>
      <w:lvlJc w:val="right"/>
      <w:pPr>
        <w:ind w:left="2160" w:hanging="180"/>
      </w:pPr>
    </w:lvl>
    <w:lvl w:ilvl="3" w:tplc="60507B94">
      <w:start w:val="1"/>
      <w:numFmt w:val="decimal"/>
      <w:lvlText w:val="%4."/>
      <w:lvlJc w:val="left"/>
      <w:pPr>
        <w:ind w:left="2880" w:hanging="360"/>
      </w:pPr>
    </w:lvl>
    <w:lvl w:ilvl="4" w:tplc="5950A310">
      <w:start w:val="1"/>
      <w:numFmt w:val="lowerLetter"/>
      <w:lvlText w:val="%5."/>
      <w:lvlJc w:val="left"/>
      <w:pPr>
        <w:ind w:left="3600" w:hanging="360"/>
      </w:pPr>
    </w:lvl>
    <w:lvl w:ilvl="5" w:tplc="4C586436">
      <w:start w:val="1"/>
      <w:numFmt w:val="lowerRoman"/>
      <w:lvlText w:val="%6."/>
      <w:lvlJc w:val="right"/>
      <w:pPr>
        <w:ind w:left="4320" w:hanging="180"/>
      </w:pPr>
    </w:lvl>
    <w:lvl w:ilvl="6" w:tplc="E598BEC0">
      <w:start w:val="1"/>
      <w:numFmt w:val="decimal"/>
      <w:lvlText w:val="%7."/>
      <w:lvlJc w:val="left"/>
      <w:pPr>
        <w:ind w:left="5040" w:hanging="360"/>
      </w:pPr>
    </w:lvl>
    <w:lvl w:ilvl="7" w:tplc="64EE53EE">
      <w:start w:val="1"/>
      <w:numFmt w:val="lowerLetter"/>
      <w:lvlText w:val="%8."/>
      <w:lvlJc w:val="left"/>
      <w:pPr>
        <w:ind w:left="5760" w:hanging="360"/>
      </w:pPr>
    </w:lvl>
    <w:lvl w:ilvl="8" w:tplc="4796C2A8">
      <w:start w:val="1"/>
      <w:numFmt w:val="lowerRoman"/>
      <w:lvlText w:val="%9."/>
      <w:lvlJc w:val="right"/>
      <w:pPr>
        <w:ind w:left="6480" w:hanging="180"/>
      </w:pPr>
    </w:lvl>
  </w:abstractNum>
  <w:abstractNum w:abstractNumId="5" w15:restartNumberingAfterBreak="0">
    <w:nsid w:val="71047B56"/>
    <w:multiLevelType w:val="hybridMultilevel"/>
    <w:tmpl w:val="DF6CB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354"/>
    <w:rsid w:val="00025777"/>
    <w:rsid w:val="0003202B"/>
    <w:rsid w:val="0003352F"/>
    <w:rsid w:val="00041298"/>
    <w:rsid w:val="0004462F"/>
    <w:rsid w:val="00083405"/>
    <w:rsid w:val="0009687A"/>
    <w:rsid w:val="0009772C"/>
    <w:rsid w:val="000D3F4A"/>
    <w:rsid w:val="000E4DB7"/>
    <w:rsid w:val="001508D3"/>
    <w:rsid w:val="001776C5"/>
    <w:rsid w:val="00194814"/>
    <w:rsid w:val="001A7683"/>
    <w:rsid w:val="001B2354"/>
    <w:rsid w:val="001D5CF2"/>
    <w:rsid w:val="00201C0F"/>
    <w:rsid w:val="00252250"/>
    <w:rsid w:val="002B5CCB"/>
    <w:rsid w:val="002E1281"/>
    <w:rsid w:val="002F26C2"/>
    <w:rsid w:val="00303ED5"/>
    <w:rsid w:val="00317540"/>
    <w:rsid w:val="0032696F"/>
    <w:rsid w:val="00337ABC"/>
    <w:rsid w:val="00354348"/>
    <w:rsid w:val="00356C26"/>
    <w:rsid w:val="003621F6"/>
    <w:rsid w:val="0036686E"/>
    <w:rsid w:val="003A7E2F"/>
    <w:rsid w:val="003C3A9B"/>
    <w:rsid w:val="00416F9E"/>
    <w:rsid w:val="00481A18"/>
    <w:rsid w:val="004B3965"/>
    <w:rsid w:val="004D00AE"/>
    <w:rsid w:val="00587D3F"/>
    <w:rsid w:val="005E127B"/>
    <w:rsid w:val="005E633A"/>
    <w:rsid w:val="00604B1A"/>
    <w:rsid w:val="00606F3B"/>
    <w:rsid w:val="0064150E"/>
    <w:rsid w:val="00642832"/>
    <w:rsid w:val="006A1B73"/>
    <w:rsid w:val="00701EA3"/>
    <w:rsid w:val="0071340F"/>
    <w:rsid w:val="00722429"/>
    <w:rsid w:val="007454D5"/>
    <w:rsid w:val="0075016C"/>
    <w:rsid w:val="00765211"/>
    <w:rsid w:val="00796C7A"/>
    <w:rsid w:val="007C3910"/>
    <w:rsid w:val="007F58D6"/>
    <w:rsid w:val="007F6C7F"/>
    <w:rsid w:val="008061F4"/>
    <w:rsid w:val="00864807"/>
    <w:rsid w:val="008A61D0"/>
    <w:rsid w:val="008C0FB2"/>
    <w:rsid w:val="008C7E26"/>
    <w:rsid w:val="008F31E7"/>
    <w:rsid w:val="00901AF8"/>
    <w:rsid w:val="00923B66"/>
    <w:rsid w:val="00932232"/>
    <w:rsid w:val="00970CCC"/>
    <w:rsid w:val="00A100E3"/>
    <w:rsid w:val="00A34E14"/>
    <w:rsid w:val="00A45F2C"/>
    <w:rsid w:val="00A6098D"/>
    <w:rsid w:val="00A61F12"/>
    <w:rsid w:val="00A87FC2"/>
    <w:rsid w:val="00A92C1B"/>
    <w:rsid w:val="00AA3CB5"/>
    <w:rsid w:val="00AB36F3"/>
    <w:rsid w:val="00B05B44"/>
    <w:rsid w:val="00B06BE1"/>
    <w:rsid w:val="00B924A0"/>
    <w:rsid w:val="00BB0D95"/>
    <w:rsid w:val="00C80DA3"/>
    <w:rsid w:val="00C84CF2"/>
    <w:rsid w:val="00C860EB"/>
    <w:rsid w:val="00C96B31"/>
    <w:rsid w:val="00CAA21A"/>
    <w:rsid w:val="00CB70F4"/>
    <w:rsid w:val="00CC52D1"/>
    <w:rsid w:val="00CC5440"/>
    <w:rsid w:val="00CE39C9"/>
    <w:rsid w:val="00D31D49"/>
    <w:rsid w:val="00D50F40"/>
    <w:rsid w:val="00DB7186"/>
    <w:rsid w:val="00DE3F48"/>
    <w:rsid w:val="00E107B5"/>
    <w:rsid w:val="00E14872"/>
    <w:rsid w:val="00E34F37"/>
    <w:rsid w:val="00E359DA"/>
    <w:rsid w:val="00E36C77"/>
    <w:rsid w:val="00E76D3F"/>
    <w:rsid w:val="00EC6555"/>
    <w:rsid w:val="00EF55A2"/>
    <w:rsid w:val="00F14FCE"/>
    <w:rsid w:val="00F16CA6"/>
    <w:rsid w:val="00F2770C"/>
    <w:rsid w:val="00FE25FB"/>
    <w:rsid w:val="011EE919"/>
    <w:rsid w:val="01413F9F"/>
    <w:rsid w:val="014334C8"/>
    <w:rsid w:val="01C8D959"/>
    <w:rsid w:val="01DB8824"/>
    <w:rsid w:val="023D6C18"/>
    <w:rsid w:val="0249185B"/>
    <w:rsid w:val="02D4B623"/>
    <w:rsid w:val="030C55A7"/>
    <w:rsid w:val="0333D135"/>
    <w:rsid w:val="03363623"/>
    <w:rsid w:val="033B305F"/>
    <w:rsid w:val="0466769A"/>
    <w:rsid w:val="047B1196"/>
    <w:rsid w:val="050DB312"/>
    <w:rsid w:val="054BB5AA"/>
    <w:rsid w:val="0553997F"/>
    <w:rsid w:val="0581D1E7"/>
    <w:rsid w:val="0583082F"/>
    <w:rsid w:val="064EA55B"/>
    <w:rsid w:val="0657C902"/>
    <w:rsid w:val="07CED384"/>
    <w:rsid w:val="0883566C"/>
    <w:rsid w:val="08BD4009"/>
    <w:rsid w:val="08DD2013"/>
    <w:rsid w:val="08E878D5"/>
    <w:rsid w:val="096433A0"/>
    <w:rsid w:val="09C697FA"/>
    <w:rsid w:val="09E6BBC9"/>
    <w:rsid w:val="09F01491"/>
    <w:rsid w:val="0A0248E8"/>
    <w:rsid w:val="0A4AEF06"/>
    <w:rsid w:val="0A82345E"/>
    <w:rsid w:val="0AD5B81E"/>
    <w:rsid w:val="0BF836A8"/>
    <w:rsid w:val="0C396C0C"/>
    <w:rsid w:val="0C6A9AFC"/>
    <w:rsid w:val="0CA0EAFA"/>
    <w:rsid w:val="0D27B553"/>
    <w:rsid w:val="0D613474"/>
    <w:rsid w:val="0D6BD599"/>
    <w:rsid w:val="0DF2A9D8"/>
    <w:rsid w:val="0DFF6ABC"/>
    <w:rsid w:val="0ECF40DD"/>
    <w:rsid w:val="0EF7CD87"/>
    <w:rsid w:val="0F3E85F2"/>
    <w:rsid w:val="0FC63640"/>
    <w:rsid w:val="107E5C6A"/>
    <w:rsid w:val="10B65862"/>
    <w:rsid w:val="10F0500F"/>
    <w:rsid w:val="11D483D3"/>
    <w:rsid w:val="11EDF7F2"/>
    <w:rsid w:val="1229AA05"/>
    <w:rsid w:val="123E781C"/>
    <w:rsid w:val="126143A6"/>
    <w:rsid w:val="12DDA5A2"/>
    <w:rsid w:val="1300DC58"/>
    <w:rsid w:val="13235027"/>
    <w:rsid w:val="13842869"/>
    <w:rsid w:val="14201E32"/>
    <w:rsid w:val="14F4ADB9"/>
    <w:rsid w:val="152CE3F0"/>
    <w:rsid w:val="1542A99B"/>
    <w:rsid w:val="161FB7DF"/>
    <w:rsid w:val="162F2720"/>
    <w:rsid w:val="1639F259"/>
    <w:rsid w:val="1666088F"/>
    <w:rsid w:val="16A6AE36"/>
    <w:rsid w:val="1720E394"/>
    <w:rsid w:val="17B489BE"/>
    <w:rsid w:val="183311CB"/>
    <w:rsid w:val="185EB231"/>
    <w:rsid w:val="18DA73BF"/>
    <w:rsid w:val="19155581"/>
    <w:rsid w:val="19307BCE"/>
    <w:rsid w:val="193C39E9"/>
    <w:rsid w:val="197C634F"/>
    <w:rsid w:val="1A9AD9AB"/>
    <w:rsid w:val="1B447999"/>
    <w:rsid w:val="1B6B2954"/>
    <w:rsid w:val="1B7AB95D"/>
    <w:rsid w:val="1BBA666C"/>
    <w:rsid w:val="1BBFDE49"/>
    <w:rsid w:val="1BCE728C"/>
    <w:rsid w:val="1CE0FEE4"/>
    <w:rsid w:val="1CE8CEA7"/>
    <w:rsid w:val="1DB58448"/>
    <w:rsid w:val="1E45290A"/>
    <w:rsid w:val="1F3CB780"/>
    <w:rsid w:val="1F3FC6AE"/>
    <w:rsid w:val="1F6096B0"/>
    <w:rsid w:val="1F9A9082"/>
    <w:rsid w:val="1FB5411D"/>
    <w:rsid w:val="1FE35650"/>
    <w:rsid w:val="2019728D"/>
    <w:rsid w:val="2019FC22"/>
    <w:rsid w:val="20BD54D8"/>
    <w:rsid w:val="214243A7"/>
    <w:rsid w:val="21AA7F30"/>
    <w:rsid w:val="226367B4"/>
    <w:rsid w:val="22A13845"/>
    <w:rsid w:val="22A1E103"/>
    <w:rsid w:val="22C589F6"/>
    <w:rsid w:val="22E02AB6"/>
    <w:rsid w:val="234AD756"/>
    <w:rsid w:val="2365A1E4"/>
    <w:rsid w:val="23CEF9D2"/>
    <w:rsid w:val="246BAF1C"/>
    <w:rsid w:val="24AE509A"/>
    <w:rsid w:val="24D029B1"/>
    <w:rsid w:val="25168872"/>
    <w:rsid w:val="253034B5"/>
    <w:rsid w:val="254D2B75"/>
    <w:rsid w:val="25622DA0"/>
    <w:rsid w:val="25743A34"/>
    <w:rsid w:val="25B6F5B8"/>
    <w:rsid w:val="2609833E"/>
    <w:rsid w:val="2710F0A3"/>
    <w:rsid w:val="2722F34F"/>
    <w:rsid w:val="27238072"/>
    <w:rsid w:val="27462E40"/>
    <w:rsid w:val="277FEB88"/>
    <w:rsid w:val="2793A0FF"/>
    <w:rsid w:val="27EF1068"/>
    <w:rsid w:val="28698D17"/>
    <w:rsid w:val="28BF50D3"/>
    <w:rsid w:val="28E516D5"/>
    <w:rsid w:val="28F401DE"/>
    <w:rsid w:val="28F8E087"/>
    <w:rsid w:val="296AEC5B"/>
    <w:rsid w:val="2A2A39D5"/>
    <w:rsid w:val="2A3C312E"/>
    <w:rsid w:val="2A3E3B56"/>
    <w:rsid w:val="2AA6C4EE"/>
    <w:rsid w:val="2BA7D28A"/>
    <w:rsid w:val="2C07D700"/>
    <w:rsid w:val="2C4C0BB4"/>
    <w:rsid w:val="2C501FCB"/>
    <w:rsid w:val="2C6597C4"/>
    <w:rsid w:val="2CCD32A3"/>
    <w:rsid w:val="2D2D7816"/>
    <w:rsid w:val="2DC10AF2"/>
    <w:rsid w:val="2E28659D"/>
    <w:rsid w:val="2E74FB76"/>
    <w:rsid w:val="2E81C0D6"/>
    <w:rsid w:val="2E8C8975"/>
    <w:rsid w:val="2EA21D1D"/>
    <w:rsid w:val="2F15CFA9"/>
    <w:rsid w:val="2F5D77BF"/>
    <w:rsid w:val="2F64073F"/>
    <w:rsid w:val="3146DE02"/>
    <w:rsid w:val="31B26FBF"/>
    <w:rsid w:val="31E6BA23"/>
    <w:rsid w:val="321DE7F8"/>
    <w:rsid w:val="32455B0A"/>
    <w:rsid w:val="326DB023"/>
    <w:rsid w:val="332F963A"/>
    <w:rsid w:val="336EE409"/>
    <w:rsid w:val="33742459"/>
    <w:rsid w:val="3374254A"/>
    <w:rsid w:val="33B20394"/>
    <w:rsid w:val="33D67156"/>
    <w:rsid w:val="347A9DFB"/>
    <w:rsid w:val="35166412"/>
    <w:rsid w:val="357241B7"/>
    <w:rsid w:val="363F875A"/>
    <w:rsid w:val="37207BDF"/>
    <w:rsid w:val="3795FC25"/>
    <w:rsid w:val="37B599E6"/>
    <w:rsid w:val="37C002C5"/>
    <w:rsid w:val="37C91E65"/>
    <w:rsid w:val="37CA34A5"/>
    <w:rsid w:val="37D38A46"/>
    <w:rsid w:val="381EEFFE"/>
    <w:rsid w:val="3834C599"/>
    <w:rsid w:val="38578B20"/>
    <w:rsid w:val="38A9E279"/>
    <w:rsid w:val="38ABE113"/>
    <w:rsid w:val="392035D5"/>
    <w:rsid w:val="393218DF"/>
    <w:rsid w:val="395BD326"/>
    <w:rsid w:val="396129C0"/>
    <w:rsid w:val="3968FB97"/>
    <w:rsid w:val="396D974B"/>
    <w:rsid w:val="3988410D"/>
    <w:rsid w:val="39FBEC66"/>
    <w:rsid w:val="3A2E8036"/>
    <w:rsid w:val="3A4EDCB8"/>
    <w:rsid w:val="3A588E55"/>
    <w:rsid w:val="3A86F791"/>
    <w:rsid w:val="3BDAB2E8"/>
    <w:rsid w:val="3BF15665"/>
    <w:rsid w:val="3C32A7C4"/>
    <w:rsid w:val="3C67F3D3"/>
    <w:rsid w:val="3C845EC6"/>
    <w:rsid w:val="3D5C2C7B"/>
    <w:rsid w:val="3E669A78"/>
    <w:rsid w:val="3E80F0A0"/>
    <w:rsid w:val="3EA9EE19"/>
    <w:rsid w:val="3EB089D8"/>
    <w:rsid w:val="3F8E70D4"/>
    <w:rsid w:val="3FB122FF"/>
    <w:rsid w:val="3FFA80D2"/>
    <w:rsid w:val="3FFC0628"/>
    <w:rsid w:val="40026AD9"/>
    <w:rsid w:val="4009C8CB"/>
    <w:rsid w:val="40481DE9"/>
    <w:rsid w:val="407F8FFC"/>
    <w:rsid w:val="40E2EDFF"/>
    <w:rsid w:val="4134D74C"/>
    <w:rsid w:val="414CF360"/>
    <w:rsid w:val="41ECD95F"/>
    <w:rsid w:val="41F5D7E1"/>
    <w:rsid w:val="42150C06"/>
    <w:rsid w:val="425E5073"/>
    <w:rsid w:val="42E8C3C1"/>
    <w:rsid w:val="42FA4935"/>
    <w:rsid w:val="43023452"/>
    <w:rsid w:val="43351369"/>
    <w:rsid w:val="4344833F"/>
    <w:rsid w:val="43C85BCA"/>
    <w:rsid w:val="44065F4A"/>
    <w:rsid w:val="44500624"/>
    <w:rsid w:val="447F339A"/>
    <w:rsid w:val="44816181"/>
    <w:rsid w:val="44D9997D"/>
    <w:rsid w:val="45021086"/>
    <w:rsid w:val="45886581"/>
    <w:rsid w:val="45AD9DB6"/>
    <w:rsid w:val="45E0EF2D"/>
    <w:rsid w:val="464C5E43"/>
    <w:rsid w:val="46CF2590"/>
    <w:rsid w:val="46E6F723"/>
    <w:rsid w:val="46F5770B"/>
    <w:rsid w:val="47174B8B"/>
    <w:rsid w:val="476D0438"/>
    <w:rsid w:val="47704576"/>
    <w:rsid w:val="4830B12C"/>
    <w:rsid w:val="488E61C7"/>
    <w:rsid w:val="4890DFD6"/>
    <w:rsid w:val="496CB8ED"/>
    <w:rsid w:val="496D30DF"/>
    <w:rsid w:val="496DF7E0"/>
    <w:rsid w:val="498A59CE"/>
    <w:rsid w:val="49A14F1E"/>
    <w:rsid w:val="4A1E97E5"/>
    <w:rsid w:val="4A20874B"/>
    <w:rsid w:val="4A5504DC"/>
    <w:rsid w:val="4A563413"/>
    <w:rsid w:val="4A7A2D4F"/>
    <w:rsid w:val="4AEBAE37"/>
    <w:rsid w:val="4B08894E"/>
    <w:rsid w:val="4B396666"/>
    <w:rsid w:val="4BF7F59D"/>
    <w:rsid w:val="4C22FB56"/>
    <w:rsid w:val="4C758410"/>
    <w:rsid w:val="4C864518"/>
    <w:rsid w:val="4C8D1556"/>
    <w:rsid w:val="4CAB8F91"/>
    <w:rsid w:val="4CC7C584"/>
    <w:rsid w:val="4D7CA496"/>
    <w:rsid w:val="4DA71A3E"/>
    <w:rsid w:val="4DB4FEFA"/>
    <w:rsid w:val="4DCBDB47"/>
    <w:rsid w:val="4DEC93E7"/>
    <w:rsid w:val="4E87F75E"/>
    <w:rsid w:val="4E893032"/>
    <w:rsid w:val="4E8AF723"/>
    <w:rsid w:val="4EA73572"/>
    <w:rsid w:val="4EF263C4"/>
    <w:rsid w:val="4F82E752"/>
    <w:rsid w:val="4FC35D10"/>
    <w:rsid w:val="4FFC0D42"/>
    <w:rsid w:val="50431B30"/>
    <w:rsid w:val="5053C6E2"/>
    <w:rsid w:val="506E9BF6"/>
    <w:rsid w:val="50956F8F"/>
    <w:rsid w:val="510686A2"/>
    <w:rsid w:val="513F4413"/>
    <w:rsid w:val="51476CEC"/>
    <w:rsid w:val="5197DDA3"/>
    <w:rsid w:val="51B81C85"/>
    <w:rsid w:val="51D8BE7A"/>
    <w:rsid w:val="51F164C3"/>
    <w:rsid w:val="5215EDE8"/>
    <w:rsid w:val="52673721"/>
    <w:rsid w:val="528AF1CE"/>
    <w:rsid w:val="52A1D6C1"/>
    <w:rsid w:val="52BC506F"/>
    <w:rsid w:val="531B3D8A"/>
    <w:rsid w:val="537475A6"/>
    <w:rsid w:val="5394803B"/>
    <w:rsid w:val="53949FE7"/>
    <w:rsid w:val="53ACE378"/>
    <w:rsid w:val="54005169"/>
    <w:rsid w:val="5426C22F"/>
    <w:rsid w:val="5475D321"/>
    <w:rsid w:val="54796820"/>
    <w:rsid w:val="54BC8363"/>
    <w:rsid w:val="54C1E297"/>
    <w:rsid w:val="54D92163"/>
    <w:rsid w:val="54DD5380"/>
    <w:rsid w:val="54F2E063"/>
    <w:rsid w:val="55290585"/>
    <w:rsid w:val="555392CC"/>
    <w:rsid w:val="556435BD"/>
    <w:rsid w:val="557EA9F2"/>
    <w:rsid w:val="55AD2D1F"/>
    <w:rsid w:val="55C035AB"/>
    <w:rsid w:val="55CBAF06"/>
    <w:rsid w:val="56AD42B7"/>
    <w:rsid w:val="56C4B512"/>
    <w:rsid w:val="57F38FEA"/>
    <w:rsid w:val="580E5DE5"/>
    <w:rsid w:val="582E6B37"/>
    <w:rsid w:val="58AFC6D8"/>
    <w:rsid w:val="58E8649C"/>
    <w:rsid w:val="596DB22A"/>
    <w:rsid w:val="59B0C4A3"/>
    <w:rsid w:val="5A5F4B9D"/>
    <w:rsid w:val="5A94408B"/>
    <w:rsid w:val="5AB2CBE0"/>
    <w:rsid w:val="5AD544A5"/>
    <w:rsid w:val="5B645C9B"/>
    <w:rsid w:val="5B90676B"/>
    <w:rsid w:val="5BD1333B"/>
    <w:rsid w:val="5C60D2E2"/>
    <w:rsid w:val="5D02BCB2"/>
    <w:rsid w:val="5D1C850E"/>
    <w:rsid w:val="5D8B7A42"/>
    <w:rsid w:val="5DA1B3FB"/>
    <w:rsid w:val="5DB188B6"/>
    <w:rsid w:val="5E201D8F"/>
    <w:rsid w:val="5E449643"/>
    <w:rsid w:val="5E9D0781"/>
    <w:rsid w:val="5ED7405E"/>
    <w:rsid w:val="5F658C78"/>
    <w:rsid w:val="5F89D202"/>
    <w:rsid w:val="5FC1DD3E"/>
    <w:rsid w:val="5FD2C688"/>
    <w:rsid w:val="5FE24961"/>
    <w:rsid w:val="5FE28D90"/>
    <w:rsid w:val="601F232D"/>
    <w:rsid w:val="6037CDBE"/>
    <w:rsid w:val="6047573D"/>
    <w:rsid w:val="60A35F09"/>
    <w:rsid w:val="60ACABF4"/>
    <w:rsid w:val="6116D625"/>
    <w:rsid w:val="6205737C"/>
    <w:rsid w:val="626BD17C"/>
    <w:rsid w:val="6302D6E4"/>
    <w:rsid w:val="6357A6E9"/>
    <w:rsid w:val="63789DAC"/>
    <w:rsid w:val="63A143DD"/>
    <w:rsid w:val="63A8FA9C"/>
    <w:rsid w:val="6424EEAA"/>
    <w:rsid w:val="642E1A71"/>
    <w:rsid w:val="648D194A"/>
    <w:rsid w:val="64E648A5"/>
    <w:rsid w:val="653D143E"/>
    <w:rsid w:val="65A9E372"/>
    <w:rsid w:val="65BD3118"/>
    <w:rsid w:val="6601876F"/>
    <w:rsid w:val="6679D163"/>
    <w:rsid w:val="6690769B"/>
    <w:rsid w:val="66B63A74"/>
    <w:rsid w:val="66D8E49F"/>
    <w:rsid w:val="66E66115"/>
    <w:rsid w:val="6707FAEE"/>
    <w:rsid w:val="6874B500"/>
    <w:rsid w:val="68A9EEB1"/>
    <w:rsid w:val="68D58F17"/>
    <w:rsid w:val="6971D7B8"/>
    <w:rsid w:val="6A0C9A8F"/>
    <w:rsid w:val="6A56C000"/>
    <w:rsid w:val="6AB41503"/>
    <w:rsid w:val="6AE67A02"/>
    <w:rsid w:val="6B44A30D"/>
    <w:rsid w:val="6C9F3B4C"/>
    <w:rsid w:val="6D0A61AC"/>
    <w:rsid w:val="6D72069F"/>
    <w:rsid w:val="6DD5CBE6"/>
    <w:rsid w:val="6DD99644"/>
    <w:rsid w:val="6DE9F29D"/>
    <w:rsid w:val="6E1BF651"/>
    <w:rsid w:val="6E4B48C2"/>
    <w:rsid w:val="6E6D237C"/>
    <w:rsid w:val="6EA46A70"/>
    <w:rsid w:val="6EB269BB"/>
    <w:rsid w:val="6EF47F12"/>
    <w:rsid w:val="6F14ABEB"/>
    <w:rsid w:val="6F3D19AC"/>
    <w:rsid w:val="6F48DEA9"/>
    <w:rsid w:val="708CB594"/>
    <w:rsid w:val="710C7463"/>
    <w:rsid w:val="71235687"/>
    <w:rsid w:val="71CD4B4A"/>
    <w:rsid w:val="72250265"/>
    <w:rsid w:val="723B4E27"/>
    <w:rsid w:val="729014AC"/>
    <w:rsid w:val="729A6BC6"/>
    <w:rsid w:val="72AE06C8"/>
    <w:rsid w:val="72BF26E8"/>
    <w:rsid w:val="736EDCB3"/>
    <w:rsid w:val="74123199"/>
    <w:rsid w:val="7461DC3E"/>
    <w:rsid w:val="748AAEFF"/>
    <w:rsid w:val="750ACA04"/>
    <w:rsid w:val="75344905"/>
    <w:rsid w:val="7547EA1D"/>
    <w:rsid w:val="75B27731"/>
    <w:rsid w:val="75B3F4D8"/>
    <w:rsid w:val="762AF51F"/>
    <w:rsid w:val="76ADA793"/>
    <w:rsid w:val="772C2FA0"/>
    <w:rsid w:val="7787E615"/>
    <w:rsid w:val="779A5D58"/>
    <w:rsid w:val="78C7443F"/>
    <w:rsid w:val="798990B9"/>
    <w:rsid w:val="7A06614F"/>
    <w:rsid w:val="7A5D4095"/>
    <w:rsid w:val="7B5F0CAA"/>
    <w:rsid w:val="7BC065BB"/>
    <w:rsid w:val="7C4511DA"/>
    <w:rsid w:val="7C6DCE7B"/>
    <w:rsid w:val="7C7735E2"/>
    <w:rsid w:val="7CC01E4D"/>
    <w:rsid w:val="7D0E2134"/>
    <w:rsid w:val="7D1C4FCD"/>
    <w:rsid w:val="7D3B917B"/>
    <w:rsid w:val="7D4D0F16"/>
    <w:rsid w:val="7D5EFD71"/>
    <w:rsid w:val="7D77F649"/>
    <w:rsid w:val="7D789D44"/>
    <w:rsid w:val="7DF73515"/>
    <w:rsid w:val="7E6A2C46"/>
    <w:rsid w:val="7E875107"/>
    <w:rsid w:val="7ED4E951"/>
    <w:rsid w:val="7EEA5D10"/>
    <w:rsid w:val="7F13C6AA"/>
    <w:rsid w:val="7F276F97"/>
    <w:rsid w:val="7F3332D3"/>
    <w:rsid w:val="7FA282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CA4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354"/>
  </w:style>
  <w:style w:type="character" w:styleId="Hipervnculo">
    <w:name w:val="Hyperlink"/>
    <w:basedOn w:val="Fuentedeprrafopredeter"/>
    <w:uiPriority w:val="99"/>
    <w:unhideWhenUsed/>
    <w:rPr>
      <w:color w:val="0563C1" w:themeColor="hyperlink"/>
      <w:u w:val="single"/>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Fuentedeprrafopredeter"/>
    <w:uiPriority w:val="99"/>
    <w:semiHidden/>
    <w:unhideWhenUsed/>
    <w:rsid w:val="00303ED5"/>
    <w:rPr>
      <w:color w:val="605E5C"/>
      <w:shd w:val="clear" w:color="auto" w:fill="E1DFDD"/>
    </w:rPr>
  </w:style>
  <w:style w:type="character" w:styleId="Referenciaintensa">
    <w:name w:val="Intense Reference"/>
    <w:basedOn w:val="Fuentedeprrafopredeter"/>
    <w:uiPriority w:val="32"/>
    <w:qFormat/>
    <w:rsid w:val="00923B66"/>
    <w:rPr>
      <w:b/>
      <w:bCs/>
      <w:smallCaps/>
      <w:color w:val="4472C4" w:themeColor="accent1"/>
      <w:spacing w:val="5"/>
    </w:rPr>
  </w:style>
  <w:style w:type="character" w:styleId="Hipervnculovisitado">
    <w:name w:val="FollowedHyperlink"/>
    <w:basedOn w:val="Fuentedeprrafopredeter"/>
    <w:uiPriority w:val="99"/>
    <w:semiHidden/>
    <w:unhideWhenUsed/>
    <w:rsid w:val="00A92C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1201822801">
      <w:bodyDiv w:val="1"/>
      <w:marLeft w:val="0"/>
      <w:marRight w:val="0"/>
      <w:marTop w:val="0"/>
      <w:marBottom w:val="0"/>
      <w:divBdr>
        <w:top w:val="none" w:sz="0" w:space="0" w:color="auto"/>
        <w:left w:val="none" w:sz="0" w:space="0" w:color="auto"/>
        <w:bottom w:val="none" w:sz="0" w:space="0" w:color="auto"/>
        <w:right w:val="none" w:sz="0" w:space="0" w:color="auto"/>
      </w:divBdr>
    </w:div>
    <w:div w:id="1325162244">
      <w:bodyDiv w:val="1"/>
      <w:marLeft w:val="0"/>
      <w:marRight w:val="0"/>
      <w:marTop w:val="0"/>
      <w:marBottom w:val="0"/>
      <w:divBdr>
        <w:top w:val="none" w:sz="0" w:space="0" w:color="auto"/>
        <w:left w:val="none" w:sz="0" w:space="0" w:color="auto"/>
        <w:bottom w:val="none" w:sz="0" w:space="0" w:color="auto"/>
        <w:right w:val="none" w:sz="0" w:space="0" w:color="auto"/>
      </w:divBdr>
    </w:div>
    <w:div w:id="1384524200">
      <w:bodyDiv w:val="1"/>
      <w:marLeft w:val="0"/>
      <w:marRight w:val="0"/>
      <w:marTop w:val="0"/>
      <w:marBottom w:val="0"/>
      <w:divBdr>
        <w:top w:val="none" w:sz="0" w:space="0" w:color="auto"/>
        <w:left w:val="none" w:sz="0" w:space="0" w:color="auto"/>
        <w:bottom w:val="none" w:sz="0" w:space="0" w:color="auto"/>
        <w:right w:val="none" w:sz="0" w:space="0" w:color="auto"/>
      </w:divBdr>
    </w:div>
    <w:div w:id="160295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rtuami.izt.uam.mx/aulas/avmacca/pluginfile.php/113883/mod_resource/content/2/Primera%20evaluaci%C3%B3n%20parcial%20-%20Caso%20de%20estudio_Acciones-afirmativas.pdf" TargetMode="External"/><Relationship Id="rId13" Type="http://schemas.openxmlformats.org/officeDocument/2006/relationships/hyperlink" Target="https://centralelectoral.ine.mx/2021/01/04/improcedente-retirar-spots-de-radio-sobre-la-vacuna-de-covid-19/" TargetMode="External"/><Relationship Id="rId18" Type="http://schemas.openxmlformats.org/officeDocument/2006/relationships/hyperlink" Target="https://www.te.gob.mx/EE/SUP/2021/REP/62/SUP_2021_REP_62-966518.pdf" TargetMode="External"/><Relationship Id="rId3" Type="http://schemas.openxmlformats.org/officeDocument/2006/relationships/styles" Target="styles.xml"/><Relationship Id="rId21" Type="http://schemas.openxmlformats.org/officeDocument/2006/relationships/hyperlink" Target="https://www.te.gob.mx/front3/bulletins/detail/4155/0" TargetMode="External"/><Relationship Id="rId7" Type="http://schemas.openxmlformats.org/officeDocument/2006/relationships/endnotes" Target="endnotes.xml"/><Relationship Id="rId12" Type="http://schemas.openxmlformats.org/officeDocument/2006/relationships/hyperlink" Target="https://www.scjn.gob.mx/sites/default/files/derechos_humanos/articulosdh/documentos/2016-12/PRINCIPIO%20DE%20PARIDAD.pdf" TargetMode="External"/><Relationship Id="rId17" Type="http://schemas.openxmlformats.org/officeDocument/2006/relationships/hyperlink" Target="https://repositoriodocumental.ine.mx/xmlui/bitstream/handle/123456789/117994/ACQyD-INE-39-2021-PES-47-2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positoriodocumental.ine.mx/xmlui/bitstream/handle/123456789/116780/ACQyD-INE-22-2021-PES-34-21.pdf" TargetMode="External"/><Relationship Id="rId20" Type="http://schemas.openxmlformats.org/officeDocument/2006/relationships/hyperlink" Target="https://www.te.gob.mx/salasreg/ejecutoria/sentencias/especializada/SRE-PSC-0071-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isteguinoticias.com/0401/mexico/ine-no-retirara-spot-de-morena-sobre-vacuna/"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eleconomista.com.mx/politica/TEPJF-avala-medidas-cautelares-del-INE-contra-Morena-por-supuesto-uso-politico-de-vacunas-contra-Covid-20210310-0130.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epositoriodocumental.ine.mx/xmlui/bitstream/handle/123456789/116253/ACQyD-INE-1-2021-PES-1-21.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FF0BA-0E3F-440B-8BC0-393E6655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1404</Words>
  <Characters>7722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15</cp:revision>
  <dcterms:created xsi:type="dcterms:W3CDTF">2022-10-24T12:04:00Z</dcterms:created>
  <dcterms:modified xsi:type="dcterms:W3CDTF">2024-08-17T01:12:00Z</dcterms:modified>
</cp:coreProperties>
</file>