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F05D5" w14:textId="77777777" w:rsidR="004374C0" w:rsidRDefault="004374C0" w:rsidP="004374C0">
      <w:pPr>
        <w:spacing w:line="360" w:lineRule="auto"/>
        <w:jc w:val="both"/>
        <w:rPr>
          <w:rFonts w:ascii="Arial" w:eastAsia="Arial" w:hAnsi="Arial" w:cs="Arial"/>
          <w:b/>
        </w:rPr>
      </w:pPr>
      <w:r w:rsidRPr="004374C0">
        <w:rPr>
          <w:rFonts w:ascii="Arial" w:eastAsia="Arial" w:hAnsi="Arial" w:cs="Arial"/>
          <w:b/>
        </w:rPr>
        <w:t>Evolución de la Matrícula Estudiantil en México (2021-2024): Género y Nivel Educativo</w:t>
      </w:r>
      <w:r w:rsidRPr="004374C0">
        <w:rPr>
          <w:rFonts w:ascii="Arial" w:eastAsia="Arial" w:hAnsi="Arial" w:cs="Arial"/>
          <w:b/>
        </w:rPr>
        <w:t xml:space="preserve"> </w:t>
      </w:r>
    </w:p>
    <w:p w14:paraId="23B79AFA" w14:textId="0870DC6E" w:rsidR="004374C0" w:rsidRDefault="004374C0" w:rsidP="004374C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Autor: </w:t>
      </w:r>
      <w:r>
        <w:rPr>
          <w:rFonts w:ascii="Arial" w:eastAsia="Arial" w:hAnsi="Arial" w:cs="Arial"/>
        </w:rPr>
        <w:t>Fatima Aguilar Aguirre</w:t>
      </w:r>
    </w:p>
    <w:p w14:paraId="0A3FEC00" w14:textId="77777777" w:rsidR="004374C0" w:rsidRPr="004374C0" w:rsidRDefault="004374C0" w:rsidP="004374C0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Resumen ejecutivo: </w:t>
      </w:r>
      <w:r w:rsidRPr="004374C0">
        <w:rPr>
          <w:rFonts w:ascii="Arial" w:hAnsi="Arial" w:cs="Arial"/>
        </w:rPr>
        <w:t>La matrícula estudiantil en México ha experimentado cambios significativos entre 2021 y 2024.</w:t>
      </w:r>
    </w:p>
    <w:p w14:paraId="514D7CD0" w14:textId="77777777" w:rsidR="004374C0" w:rsidRPr="004374C0" w:rsidRDefault="004374C0" w:rsidP="004374C0">
      <w:pPr>
        <w:jc w:val="both"/>
        <w:rPr>
          <w:rFonts w:ascii="Arial" w:hAnsi="Arial" w:cs="Arial"/>
        </w:rPr>
      </w:pPr>
      <w:r w:rsidRPr="004374C0">
        <w:rPr>
          <w:rFonts w:ascii="Arial" w:hAnsi="Arial" w:cs="Arial"/>
        </w:rPr>
        <w:t>Este análisis examina la evolución de la inscripción en todos los niveles educativos,</w:t>
      </w:r>
    </w:p>
    <w:p w14:paraId="24BA15F9" w14:textId="77777777" w:rsidR="004374C0" w:rsidRPr="004374C0" w:rsidRDefault="004374C0" w:rsidP="004374C0">
      <w:pPr>
        <w:jc w:val="both"/>
        <w:rPr>
          <w:rFonts w:ascii="Arial" w:hAnsi="Arial" w:cs="Arial"/>
        </w:rPr>
      </w:pPr>
      <w:r w:rsidRPr="004374C0">
        <w:rPr>
          <w:rFonts w:ascii="Arial" w:hAnsi="Arial" w:cs="Arial"/>
        </w:rPr>
        <w:t>diferenciando por género. Se identifican tendencias clave, el impacto de políticas educativas y las</w:t>
      </w:r>
    </w:p>
    <w:p w14:paraId="627B3A19" w14:textId="38E4026A" w:rsidR="004374C0" w:rsidRDefault="004374C0" w:rsidP="004374C0">
      <w:pPr>
        <w:jc w:val="both"/>
        <w:rPr>
          <w:rFonts w:ascii="Arial" w:eastAsia="Arial" w:hAnsi="Arial" w:cs="Arial"/>
        </w:rPr>
      </w:pPr>
      <w:r w:rsidRPr="004374C0">
        <w:rPr>
          <w:rFonts w:ascii="Arial" w:hAnsi="Arial" w:cs="Arial"/>
        </w:rPr>
        <w:t>brechas de género persistentes</w:t>
      </w:r>
      <w:r w:rsidRPr="004374C0">
        <w:rPr>
          <w:rFonts w:ascii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Palabras clave: </w:t>
      </w:r>
      <w:r>
        <w:rPr>
          <w:rFonts w:ascii="Arial" w:eastAsia="Arial" w:hAnsi="Arial" w:cs="Arial"/>
        </w:rPr>
        <w:t>Matricula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aumento, brecha de género, STEM</w:t>
      </w:r>
    </w:p>
    <w:p w14:paraId="2C70BF01" w14:textId="1F211D73" w:rsidR="004374C0" w:rsidRDefault="004374C0" w:rsidP="004374C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Introducción: </w:t>
      </w:r>
      <w:r w:rsidRPr="004374C0">
        <w:rPr>
          <w:rFonts w:ascii="Arial" w:eastAsia="Arial" w:hAnsi="Arial" w:cs="Arial"/>
        </w:rPr>
        <w:t>Este informe analiza la evolución de la matrícula estudiantil en México entre 2021 y 2024,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>diferenciando por género y nivel educativo. A partir de datos del INEGI, la SEP y la UNESCO, se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>examinan tendencias y se proponen estrategias para mejorar la equidad educativa. Se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>consideran factores como el impacto de la pandemia, el crecimiento de la educación en línea y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>las iniciativas gubernamentales dirigidas a la inclusión</w:t>
      </w:r>
      <w:r>
        <w:rPr>
          <w:rFonts w:ascii="Arial" w:eastAsia="Arial" w:hAnsi="Arial" w:cs="Arial"/>
        </w:rPr>
        <w:t>.</w:t>
      </w:r>
    </w:p>
    <w:p w14:paraId="6D23E3EC" w14:textId="4387B4F9" w:rsidR="004374C0" w:rsidRDefault="004374C0" w:rsidP="004374C0">
      <w:pPr>
        <w:spacing w:line="360" w:lineRule="auto"/>
        <w:jc w:val="both"/>
        <w:rPr>
          <w:rFonts w:ascii="Arial" w:eastAsia="Arial" w:hAnsi="Arial" w:cs="Arial"/>
        </w:rPr>
      </w:pPr>
      <w:r w:rsidRPr="004374C0">
        <w:rPr>
          <w:rFonts w:ascii="Arial" w:eastAsia="Arial" w:hAnsi="Arial" w:cs="Arial"/>
        </w:rPr>
        <w:t xml:space="preserve">Este estudio se basa en fuentes oficiales de educación en México </w:t>
      </w:r>
      <w:r w:rsidRPr="004374C0">
        <w:rPr>
          <w:rFonts w:ascii="Arial" w:eastAsia="Arial" w:hAnsi="Arial" w:cs="Arial"/>
        </w:rPr>
        <w:t>(INEGI</w:t>
      </w:r>
      <w:r>
        <w:rPr>
          <w:rFonts w:ascii="Arial" w:eastAsia="Arial" w:hAnsi="Arial" w:cs="Arial"/>
        </w:rPr>
        <w:t xml:space="preserve">) </w:t>
      </w:r>
      <w:r w:rsidRPr="004374C0">
        <w:rPr>
          <w:rFonts w:ascii="Arial" w:eastAsia="Arial" w:hAnsi="Arial" w:cs="Arial"/>
        </w:rPr>
        <w:t>y en un análisis cuantitativo de la inscripción escolar por nivel educativo y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>género. Su propósito es proporcionar información para mejorar políticas educativas y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>reducir desigualdades en el acceso a la educación.</w:t>
      </w:r>
    </w:p>
    <w:p w14:paraId="1E4BE285" w14:textId="603DBC9B" w:rsidR="004374C0" w:rsidRPr="004374C0" w:rsidRDefault="004374C0" w:rsidP="004374C0">
      <w:pPr>
        <w:spacing w:line="360" w:lineRule="auto"/>
        <w:jc w:val="both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3B796F05" wp14:editId="2EBEFCEC">
            <wp:extent cx="3057525" cy="1828800"/>
            <wp:effectExtent l="0" t="0" r="9525" b="0"/>
            <wp:docPr id="152876512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F32DBB1-DF07-812E-AE08-6D0A77BA1D1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2E8B202" w14:textId="77777777" w:rsidR="000F52AD" w:rsidRDefault="004374C0" w:rsidP="004374C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Marco teórico: </w:t>
      </w:r>
      <w:r w:rsidRPr="004374C0">
        <w:rPr>
          <w:rFonts w:ascii="Arial" w:eastAsia="Arial" w:hAnsi="Arial" w:cs="Arial"/>
        </w:rPr>
        <w:t>En México, la matrícula estudiantil ha experimentado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>cambios importantes entre 2021 y 2024, afectados por la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>pandemia, políticas educativas y transformaciones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 xml:space="preserve">digitales. </w:t>
      </w:r>
    </w:p>
    <w:p w14:paraId="0401C22F" w14:textId="77777777" w:rsidR="000F52AD" w:rsidRDefault="000F52AD" w:rsidP="000F52AD">
      <w:pPr>
        <w:jc w:val="both"/>
        <w:rPr>
          <w:rFonts w:ascii="Arial" w:eastAsia="Arial" w:hAnsi="Arial" w:cs="Arial"/>
        </w:rPr>
      </w:pPr>
      <w:r w:rsidRPr="004374C0">
        <w:rPr>
          <w:rFonts w:ascii="Arial" w:eastAsia="Arial" w:hAnsi="Arial" w:cs="Arial"/>
        </w:rPr>
        <w:t>Entre 2021 y 2024, la matrícula total en todos los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>niveles educativos en México experimentó un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>crecimiento constante. En particular, entre 2022 y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>2023, la matrícula aumentó en 165,689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>estudiantes, lo que refleja un crecimiento notable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 xml:space="preserve">en la inscripción. </w:t>
      </w:r>
    </w:p>
    <w:p w14:paraId="5283352D" w14:textId="77777777" w:rsidR="000F52AD" w:rsidRDefault="000F52AD" w:rsidP="000F52AD">
      <w:pPr>
        <w:jc w:val="both"/>
        <w:rPr>
          <w:rFonts w:ascii="Arial" w:eastAsia="Arial" w:hAnsi="Arial" w:cs="Arial"/>
        </w:rPr>
      </w:pPr>
      <w:r w:rsidRPr="004374C0">
        <w:rPr>
          <w:rFonts w:ascii="Arial" w:eastAsia="Arial" w:hAnsi="Arial" w:cs="Arial"/>
        </w:rPr>
        <w:t>Entre 2023 y 2024, el aumento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>fue de 82,793 estudiantes, lo que indica que la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>tendencia al alza se mantuvo, aunque a un ritmo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>algo menor</w:t>
      </w:r>
      <w:r>
        <w:rPr>
          <w:rFonts w:ascii="Arial" w:eastAsia="Arial" w:hAnsi="Arial" w:cs="Arial"/>
        </w:rPr>
        <w:t xml:space="preserve">, pero demostrando el </w:t>
      </w:r>
      <w:r w:rsidRPr="004374C0">
        <w:rPr>
          <w:rFonts w:ascii="Arial" w:eastAsia="Arial" w:hAnsi="Arial" w:cs="Arial"/>
        </w:rPr>
        <w:t>avance en la cobertura educativa en todo el país.</w:t>
      </w:r>
    </w:p>
    <w:p w14:paraId="7784E048" w14:textId="0734E2AD" w:rsidR="00FD64C3" w:rsidRDefault="004374C0" w:rsidP="004374C0">
      <w:pPr>
        <w:jc w:val="both"/>
        <w:rPr>
          <w:rFonts w:ascii="Arial" w:eastAsia="Arial" w:hAnsi="Arial" w:cs="Arial"/>
        </w:rPr>
      </w:pPr>
      <w:r w:rsidRPr="004374C0">
        <w:rPr>
          <w:rFonts w:ascii="Arial" w:eastAsia="Arial" w:hAnsi="Arial" w:cs="Arial"/>
        </w:rPr>
        <w:lastRenderedPageBreak/>
        <w:t>A pesar de los avances, persisten desigualdades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>de género en ciertos niveles educativos, especialmente en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>educación superior y en áreas de ciencia y tecnología. Es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>fundamental analizar estas tendencias para diseñar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>estrategias que garanticen un acceso equitativo a la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>educación para todos los estudiantes</w:t>
      </w:r>
      <w:r>
        <w:rPr>
          <w:rFonts w:ascii="Arial" w:eastAsia="Arial" w:hAnsi="Arial" w:cs="Arial"/>
        </w:rPr>
        <w:t>.</w:t>
      </w:r>
    </w:p>
    <w:p w14:paraId="0947BC2B" w14:textId="77777777" w:rsidR="004374C0" w:rsidRDefault="004374C0" w:rsidP="004374C0">
      <w:pPr>
        <w:jc w:val="both"/>
        <w:rPr>
          <w:rFonts w:ascii="Arial" w:eastAsia="Arial" w:hAnsi="Arial" w:cs="Arial"/>
        </w:rPr>
      </w:pPr>
      <w:r w:rsidRPr="004374C0">
        <w:rPr>
          <w:rFonts w:ascii="Arial" w:eastAsia="Arial" w:hAnsi="Arial" w:cs="Arial"/>
        </w:rPr>
        <w:t>El análisis de la matrícula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>estudiantil en México entre 2021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>y 2024 revela una recuperación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>en la inscripción escolar, aunque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>con desafíos en equidad de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 xml:space="preserve">género. </w:t>
      </w:r>
    </w:p>
    <w:p w14:paraId="52603BBC" w14:textId="255EDA81" w:rsidR="004374C0" w:rsidRDefault="004374C0" w:rsidP="004374C0">
      <w:pPr>
        <w:jc w:val="both"/>
        <w:rPr>
          <w:rFonts w:ascii="Arial" w:eastAsia="Arial" w:hAnsi="Arial" w:cs="Arial"/>
        </w:rPr>
      </w:pPr>
      <w:r w:rsidRPr="004374C0">
        <w:rPr>
          <w:rFonts w:ascii="Arial" w:eastAsia="Arial" w:hAnsi="Arial" w:cs="Arial"/>
        </w:rPr>
        <w:t>Las políticas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>implementadas han mejorado el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>acceso, pero es necesario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>reforzar estrategias para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>garantizar una educación más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>inclusiva. Este estudio destaca la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>importancia de evaluar los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>factores que afectan la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>inscripción y permanencia en los</w:t>
      </w:r>
      <w:r>
        <w:rPr>
          <w:rFonts w:ascii="Arial" w:eastAsia="Arial" w:hAnsi="Arial" w:cs="Arial"/>
        </w:rPr>
        <w:t xml:space="preserve"> </w:t>
      </w:r>
      <w:r w:rsidRPr="004374C0">
        <w:rPr>
          <w:rFonts w:ascii="Arial" w:eastAsia="Arial" w:hAnsi="Arial" w:cs="Arial"/>
        </w:rPr>
        <w:t>distintos niveles educativos</w:t>
      </w:r>
    </w:p>
    <w:p w14:paraId="6D52048A" w14:textId="77777777" w:rsidR="000F52AD" w:rsidRDefault="000F52AD" w:rsidP="004374C0">
      <w:pPr>
        <w:jc w:val="both"/>
        <w:rPr>
          <w:rFonts w:ascii="Arial" w:eastAsia="Arial" w:hAnsi="Arial" w:cs="Arial"/>
        </w:rPr>
      </w:pPr>
    </w:p>
    <w:p w14:paraId="63F809C9" w14:textId="6B51BCA1" w:rsidR="000F52AD" w:rsidRPr="000F52AD" w:rsidRDefault="000F52AD" w:rsidP="000F52AD">
      <w:pPr>
        <w:jc w:val="both"/>
        <w:rPr>
          <w:rFonts w:ascii="Arial" w:eastAsia="Arial" w:hAnsi="Arial" w:cs="Arial"/>
        </w:rPr>
      </w:pPr>
      <w:r w:rsidRPr="00FE5639">
        <w:rPr>
          <w:noProof/>
        </w:rPr>
        <w:drawing>
          <wp:inline distT="0" distB="0" distL="0" distR="0" wp14:anchorId="71C38345" wp14:editId="2B92B596">
            <wp:extent cx="2581275" cy="2268891"/>
            <wp:effectExtent l="0" t="0" r="0" b="0"/>
            <wp:docPr id="1852070862" name="Imagen 2" descr="Map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070862" name="Imagen 2" descr="Map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26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2AD">
        <w:t xml:space="preserve"> </w:t>
      </w:r>
      <w:r w:rsidRPr="000F52AD">
        <w:rPr>
          <w:rFonts w:ascii="Arial" w:eastAsia="Arial" w:hAnsi="Arial" w:cs="Arial"/>
        </w:rPr>
        <w:t>Al analizar la matrícula total en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 xml:space="preserve">México entre </w:t>
      </w:r>
      <w:r>
        <w:rPr>
          <w:rFonts w:ascii="Arial" w:eastAsia="Arial" w:hAnsi="Arial" w:cs="Arial"/>
        </w:rPr>
        <w:t>2021-</w:t>
      </w:r>
      <w:r w:rsidRPr="000F52AD">
        <w:rPr>
          <w:rFonts w:ascii="Arial" w:eastAsia="Arial" w:hAnsi="Arial" w:cs="Arial"/>
        </w:rPr>
        <w:t>2024, se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observa una distribución desigual</w:t>
      </w:r>
    </w:p>
    <w:p w14:paraId="1D86BD6E" w14:textId="38B67826" w:rsidR="000F52AD" w:rsidRPr="000F52AD" w:rsidRDefault="000F52AD" w:rsidP="000F52AD">
      <w:pPr>
        <w:jc w:val="both"/>
        <w:rPr>
          <w:rFonts w:ascii="Arial" w:eastAsia="Arial" w:hAnsi="Arial" w:cs="Arial"/>
        </w:rPr>
      </w:pPr>
      <w:r w:rsidRPr="000F52AD">
        <w:rPr>
          <w:rFonts w:ascii="Arial" w:eastAsia="Arial" w:hAnsi="Arial" w:cs="Arial"/>
        </w:rPr>
        <w:t>de estudiantes entre las entidades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federativas. El Estado de México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(Edomex) destaca como la entidad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con la mayor matrícula educativa,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concentrando una porción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significativa de la matrícula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nacional, lo que refleja tanto su alta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población como su infraestructura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educativa más desarrollada.</w:t>
      </w:r>
    </w:p>
    <w:p w14:paraId="452CAA85" w14:textId="00F85082" w:rsidR="000F52AD" w:rsidRDefault="000F52AD" w:rsidP="000F52AD">
      <w:pPr>
        <w:jc w:val="both"/>
        <w:rPr>
          <w:rFonts w:ascii="Arial" w:eastAsia="Arial" w:hAnsi="Arial" w:cs="Arial"/>
        </w:rPr>
      </w:pPr>
      <w:r w:rsidRPr="000F52AD">
        <w:rPr>
          <w:rFonts w:ascii="Arial" w:eastAsia="Arial" w:hAnsi="Arial" w:cs="Arial"/>
        </w:rPr>
        <w:t>En contraste, varios estados del norte y sur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del país muestran una matrícula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notablemente baja, con menos de 2,000,000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de estudiantes inscritos. Esta disparidad en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la distribución sugiere la existencia de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brechas en el acceso a la educación y en la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capacidad de atracción de estudiantes, que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podrían estar influenciadas por factores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como el tamaño poblacional, la calidad de la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infraestructura escolar y las políticas locales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de acceso a la educación</w:t>
      </w:r>
    </w:p>
    <w:p w14:paraId="040961AE" w14:textId="0E0ABFAA" w:rsidR="000F52AD" w:rsidRDefault="000F52AD" w:rsidP="000F52AD">
      <w:pPr>
        <w:jc w:val="both"/>
        <w:rPr>
          <w:rFonts w:ascii="Arial" w:eastAsia="Arial" w:hAnsi="Arial" w:cs="Arial"/>
        </w:rPr>
      </w:pPr>
      <w:r w:rsidRPr="000F52AD">
        <w:rPr>
          <w:rFonts w:ascii="Arial" w:eastAsia="Arial" w:hAnsi="Arial" w:cs="Arial"/>
        </w:rPr>
        <w:t>Si bien la matrícula total ha aumentado en todo el país, algunos estados continúan con una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participación más baja en comparación con los más densamente poblados, lo que refuerza la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necesidad de políticas educativas que promuevan la cobertura en esas regiones con menor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inscripción.</w:t>
      </w:r>
    </w:p>
    <w:p w14:paraId="1AA4AD7F" w14:textId="2DB23A30" w:rsidR="000F52AD" w:rsidRDefault="000F52AD" w:rsidP="000F52AD">
      <w:pPr>
        <w:jc w:val="both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296F09DF" wp14:editId="263B7778">
            <wp:extent cx="2581275" cy="2266950"/>
            <wp:effectExtent l="0" t="0" r="9525" b="0"/>
            <wp:docPr id="107864876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0AB1A18-DFF6-0DE3-C269-AB7FEEEB4B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8D0B0F6" w14:textId="6B1F0080" w:rsidR="000F52AD" w:rsidRPr="000F52AD" w:rsidRDefault="000F52AD" w:rsidP="000F52A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 w:rsidRPr="000F52AD">
        <w:rPr>
          <w:rFonts w:ascii="Arial" w:eastAsia="Arial" w:hAnsi="Arial" w:cs="Arial"/>
        </w:rPr>
        <w:t>i bien en cada uno de los años analizados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(2021 a 2024) se observa un crecimiento en la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matrícula tanto masculina como femenina, el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crecimiento relativo de la matrícula de mujeres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es más destacado.</w:t>
      </w:r>
    </w:p>
    <w:p w14:paraId="593D0BDB" w14:textId="77777777" w:rsidR="000F52AD" w:rsidRDefault="000F52AD" w:rsidP="000F52AD">
      <w:pPr>
        <w:jc w:val="both"/>
        <w:rPr>
          <w:rFonts w:ascii="Arial" w:eastAsia="Arial" w:hAnsi="Arial" w:cs="Arial"/>
        </w:rPr>
      </w:pPr>
      <w:r w:rsidRPr="000F52AD">
        <w:rPr>
          <w:rFonts w:ascii="Arial" w:eastAsia="Arial" w:hAnsi="Arial" w:cs="Arial"/>
          <w:b/>
          <w:bCs/>
        </w:rPr>
        <w:t>Matrícula de Mujeres:</w:t>
      </w:r>
      <w:r w:rsidRPr="000F52AD">
        <w:rPr>
          <w:rFonts w:ascii="Arial" w:eastAsia="Arial" w:hAnsi="Arial" w:cs="Arial"/>
        </w:rPr>
        <w:t xml:space="preserve"> A lo largo de los años,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la matrícula femenina ha mostrado un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 xml:space="preserve">crecimiento constante y superior. </w:t>
      </w:r>
    </w:p>
    <w:p w14:paraId="79F27EA0" w14:textId="2624AC90" w:rsidR="000F52AD" w:rsidRDefault="000F52AD" w:rsidP="000F52AD">
      <w:pPr>
        <w:jc w:val="both"/>
        <w:rPr>
          <w:rFonts w:ascii="Arial" w:eastAsia="Arial" w:hAnsi="Arial" w:cs="Arial"/>
        </w:rPr>
      </w:pPr>
      <w:r w:rsidRPr="000F52AD">
        <w:rPr>
          <w:rFonts w:ascii="Arial" w:eastAsia="Arial" w:hAnsi="Arial" w:cs="Arial"/>
        </w:rPr>
        <w:t>Esto sugiere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una tendencia hacia una mayor inclusión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educativa de las mujeres, lo cual podría estar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relacionado con políticas públicas y programas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que fomentan su participación en la educación,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especialmente en niveles superiores</w:t>
      </w:r>
    </w:p>
    <w:p w14:paraId="0794076E" w14:textId="54EDB737" w:rsidR="000F52AD" w:rsidRDefault="000F52AD" w:rsidP="000F52AD">
      <w:pPr>
        <w:jc w:val="both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3E9A91EC" wp14:editId="4AD62256">
            <wp:extent cx="2733675" cy="2009775"/>
            <wp:effectExtent l="0" t="0" r="9525" b="9525"/>
            <wp:docPr id="3843062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B80A1ED-BEBF-0BF7-8B18-255A5BCAEE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24C5AC0" w14:textId="2996F23D" w:rsidR="000F52AD" w:rsidRDefault="000F52AD" w:rsidP="000F52AD">
      <w:pPr>
        <w:jc w:val="both"/>
        <w:rPr>
          <w:rFonts w:ascii="Arial" w:eastAsia="Arial" w:hAnsi="Arial" w:cs="Arial"/>
        </w:rPr>
      </w:pPr>
      <w:r w:rsidRPr="000F52AD">
        <w:rPr>
          <w:rFonts w:ascii="Arial" w:eastAsia="Arial" w:hAnsi="Arial" w:cs="Arial"/>
        </w:rPr>
        <w:t>Matrícula de Hombres: Aunque la matrícula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masculina también ha aumentado, la tasa de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crecimiento ha sido menos pronunciada en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comparación con la de las mujeres, lo que refleja una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tendencia hacia una reducción de las brechas de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género en la educación.</w:t>
      </w:r>
    </w:p>
    <w:p w14:paraId="12810FBA" w14:textId="403CD5AF" w:rsidR="000F52AD" w:rsidRPr="000F52AD" w:rsidRDefault="000F52AD" w:rsidP="000F52A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Aportes:</w:t>
      </w:r>
      <w:r>
        <w:rPr>
          <w:rFonts w:ascii="Arial" w:eastAsia="Arial" w:hAnsi="Arial" w:cs="Arial"/>
        </w:rPr>
        <w:br/>
      </w:r>
      <w:r w:rsidRPr="000F52AD">
        <w:rPr>
          <w:rFonts w:ascii="Arial" w:eastAsia="Arial" w:hAnsi="Arial" w:cs="Arial"/>
        </w:rPr>
        <w:t>Podría estar favoreciendo la matrícula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femenina debido a la flexibilidad en horarios.</w:t>
      </w:r>
    </w:p>
    <w:p w14:paraId="02220836" w14:textId="06F32AD6" w:rsidR="000F52AD" w:rsidRPr="000F52AD" w:rsidRDefault="000F52AD" w:rsidP="000F52AD">
      <w:pPr>
        <w:jc w:val="both"/>
        <w:rPr>
          <w:rFonts w:ascii="Arial" w:eastAsia="Arial" w:hAnsi="Arial" w:cs="Arial"/>
        </w:rPr>
      </w:pPr>
      <w:r w:rsidRPr="000F52AD">
        <w:rPr>
          <w:rFonts w:ascii="Arial" w:eastAsia="Arial" w:hAnsi="Arial" w:cs="Arial"/>
        </w:rPr>
        <w:t>Las brechas de género son más notorias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 xml:space="preserve">en niveles superiores </w:t>
      </w:r>
    </w:p>
    <w:p w14:paraId="1F436B92" w14:textId="47B41FC5" w:rsidR="000F52AD" w:rsidRPr="000F52AD" w:rsidRDefault="000F52AD" w:rsidP="000F52AD">
      <w:pPr>
        <w:jc w:val="both"/>
        <w:rPr>
          <w:rFonts w:ascii="Arial" w:eastAsia="Arial" w:hAnsi="Arial" w:cs="Arial"/>
        </w:rPr>
      </w:pPr>
      <w:r w:rsidRPr="000F52AD">
        <w:rPr>
          <w:rFonts w:ascii="Arial" w:eastAsia="Arial" w:hAnsi="Arial" w:cs="Arial"/>
        </w:rPr>
        <w:t>A pesar de la expansión de la matrícula,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las desigualdades de género persisten,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especialmente en niveles superiores.</w:t>
      </w:r>
    </w:p>
    <w:p w14:paraId="57B90A0A" w14:textId="2476E45F" w:rsidR="000F52AD" w:rsidRDefault="000F52AD" w:rsidP="000F52AD">
      <w:pPr>
        <w:jc w:val="both"/>
        <w:rPr>
          <w:rFonts w:ascii="Arial" w:eastAsia="Arial" w:hAnsi="Arial" w:cs="Arial"/>
        </w:rPr>
      </w:pPr>
      <w:r w:rsidRPr="000F52AD">
        <w:rPr>
          <w:rFonts w:ascii="Arial" w:eastAsia="Arial" w:hAnsi="Arial" w:cs="Arial"/>
        </w:rPr>
        <w:t>Factores como la crisis económica y la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falta de infraestructura afectan estas</w:t>
      </w:r>
      <w:r>
        <w:rPr>
          <w:rFonts w:ascii="Arial" w:eastAsia="Arial" w:hAnsi="Arial" w:cs="Arial"/>
        </w:rPr>
        <w:t xml:space="preserve"> </w:t>
      </w:r>
      <w:r w:rsidRPr="000F52AD">
        <w:rPr>
          <w:rFonts w:ascii="Arial" w:eastAsia="Arial" w:hAnsi="Arial" w:cs="Arial"/>
        </w:rPr>
        <w:t>tendencias</w:t>
      </w:r>
    </w:p>
    <w:p w14:paraId="5ED3A365" w14:textId="04897CEC" w:rsidR="000F52AD" w:rsidRDefault="000F52AD" w:rsidP="000F52AD">
      <w:pPr>
        <w:pBdr>
          <w:top w:val="single" w:sz="6" w:space="1" w:color="auto"/>
          <w:bottom w:val="single" w:sz="6" w:space="1" w:color="auto"/>
        </w:pBdr>
        <w:jc w:val="both"/>
        <w:rPr>
          <w:rFonts w:ascii="Arial" w:eastAsia="Arial" w:hAnsi="Arial" w:cs="Arial"/>
        </w:rPr>
      </w:pPr>
    </w:p>
    <w:p w14:paraId="473983FE" w14:textId="77777777" w:rsidR="000F52AD" w:rsidRDefault="000F52AD" w:rsidP="000F52AD">
      <w:pPr>
        <w:jc w:val="both"/>
        <w:rPr>
          <w:rFonts w:ascii="Arial" w:eastAsia="Arial" w:hAnsi="Arial" w:cs="Arial"/>
        </w:rPr>
      </w:pPr>
    </w:p>
    <w:p w14:paraId="30592BC4" w14:textId="77777777" w:rsidR="000F52AD" w:rsidRDefault="000F52AD" w:rsidP="000F52AD">
      <w:pPr>
        <w:pBdr>
          <w:bottom w:val="single" w:sz="6" w:space="1" w:color="auto"/>
        </w:pBdr>
        <w:jc w:val="both"/>
        <w:rPr>
          <w:rFonts w:ascii="Arial" w:eastAsia="Arial" w:hAnsi="Arial" w:cs="Arial"/>
        </w:rPr>
      </w:pPr>
    </w:p>
    <w:p w14:paraId="65F76A40" w14:textId="77777777" w:rsidR="000F52AD" w:rsidRPr="000F52AD" w:rsidRDefault="000F52AD" w:rsidP="000F52AD">
      <w:pPr>
        <w:jc w:val="both"/>
        <w:rPr>
          <w:rFonts w:ascii="Arial" w:eastAsia="Arial" w:hAnsi="Arial" w:cs="Arial"/>
        </w:rPr>
      </w:pPr>
      <w:proofErr w:type="spellStart"/>
      <w:r w:rsidRPr="000F52AD">
        <w:rPr>
          <w:rFonts w:ascii="Arial" w:eastAsia="Arial" w:hAnsi="Arial" w:cs="Arial"/>
        </w:rPr>
        <w:t>Bibliografia</w:t>
      </w:r>
      <w:proofErr w:type="spellEnd"/>
    </w:p>
    <w:p w14:paraId="43B58B53" w14:textId="77777777" w:rsidR="000F52AD" w:rsidRPr="000F52AD" w:rsidRDefault="000F52AD" w:rsidP="000F52AD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0F52AD">
        <w:rPr>
          <w:rFonts w:ascii="Arial" w:eastAsia="Arial" w:hAnsi="Arial" w:cs="Arial"/>
          <w:sz w:val="24"/>
          <w:szCs w:val="24"/>
        </w:rPr>
        <w:t>Triolla</w:t>
      </w:r>
      <w:proofErr w:type="spellEnd"/>
      <w:r w:rsidRPr="000F52AD">
        <w:rPr>
          <w:rFonts w:ascii="Arial" w:eastAsia="Arial" w:hAnsi="Arial" w:cs="Arial"/>
          <w:sz w:val="24"/>
          <w:szCs w:val="24"/>
        </w:rPr>
        <w:t xml:space="preserve"> (2009) Estadística</w:t>
      </w:r>
    </w:p>
    <w:p w14:paraId="7F202ADA" w14:textId="3AB6531E" w:rsidR="000F52AD" w:rsidRPr="000F52AD" w:rsidRDefault="000F52AD" w:rsidP="000F52AD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 w:rsidRPr="000F52AD">
        <w:rPr>
          <w:rFonts w:ascii="Arial" w:eastAsia="Arial" w:hAnsi="Arial" w:cs="Arial"/>
          <w:sz w:val="24"/>
          <w:szCs w:val="24"/>
        </w:rPr>
        <w:t xml:space="preserve">SEP. Sistema Interactivo de Consulta de Estadística </w:t>
      </w:r>
      <w:proofErr w:type="spellStart"/>
      <w:r w:rsidRPr="000F52AD">
        <w:rPr>
          <w:rFonts w:ascii="Arial" w:eastAsia="Arial" w:hAnsi="Arial" w:cs="Arial"/>
          <w:sz w:val="24"/>
          <w:szCs w:val="24"/>
        </w:rPr>
        <w:t>Educativa.http</w:t>
      </w:r>
      <w:proofErr w:type="spellEnd"/>
      <w:r w:rsidRPr="000F52AD">
        <w:rPr>
          <w:rFonts w:ascii="Arial" w:eastAsia="Arial" w:hAnsi="Arial" w:cs="Arial"/>
          <w:sz w:val="24"/>
          <w:szCs w:val="24"/>
        </w:rPr>
        <w:t>://planeacion.sep.gob.mx/</w:t>
      </w:r>
      <w:proofErr w:type="spellStart"/>
      <w:r w:rsidRPr="000F52AD">
        <w:rPr>
          <w:rFonts w:ascii="Arial" w:eastAsia="Arial" w:hAnsi="Arial" w:cs="Arial"/>
          <w:sz w:val="24"/>
          <w:szCs w:val="24"/>
        </w:rPr>
        <w:t>principalescifras</w:t>
      </w:r>
      <w:proofErr w:type="spellEnd"/>
      <w:r w:rsidRPr="000F52AD">
        <w:rPr>
          <w:rFonts w:ascii="Arial" w:eastAsia="Arial" w:hAnsi="Arial" w:cs="Arial"/>
          <w:sz w:val="24"/>
          <w:szCs w:val="24"/>
        </w:rPr>
        <w:t>/</w:t>
      </w:r>
      <w:r w:rsidRPr="000F52AD">
        <w:rPr>
          <w:rFonts w:ascii="Arial" w:eastAsia="Arial" w:hAnsi="Arial" w:cs="Arial"/>
          <w:sz w:val="24"/>
          <w:szCs w:val="24"/>
        </w:rPr>
        <w:t xml:space="preserve"> </w:t>
      </w:r>
      <w:r w:rsidRPr="000F52AD">
        <w:rPr>
          <w:rFonts w:ascii="Arial" w:eastAsia="Arial" w:hAnsi="Arial" w:cs="Arial"/>
          <w:sz w:val="24"/>
          <w:szCs w:val="24"/>
        </w:rPr>
        <w:t>(Consulta: 17 de febrero de</w:t>
      </w:r>
      <w:r w:rsidRPr="000F52AD">
        <w:rPr>
          <w:rFonts w:ascii="Arial" w:eastAsia="Arial" w:hAnsi="Arial" w:cs="Arial"/>
          <w:sz w:val="24"/>
          <w:szCs w:val="24"/>
        </w:rPr>
        <w:t xml:space="preserve"> </w:t>
      </w:r>
      <w:r w:rsidRPr="000F52AD">
        <w:rPr>
          <w:rFonts w:ascii="Arial" w:eastAsia="Arial" w:hAnsi="Arial" w:cs="Arial"/>
          <w:sz w:val="24"/>
          <w:szCs w:val="24"/>
        </w:rPr>
        <w:t>2025).</w:t>
      </w:r>
    </w:p>
    <w:sectPr w:rsidR="000F52AD" w:rsidRPr="000F52AD" w:rsidSect="004374C0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CE2"/>
    <w:multiLevelType w:val="hybridMultilevel"/>
    <w:tmpl w:val="1076ED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621BD"/>
    <w:multiLevelType w:val="hybridMultilevel"/>
    <w:tmpl w:val="AAFE71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6C4DC6">
      <w:numFmt w:val="bullet"/>
      <w:lvlText w:val="•"/>
      <w:lvlJc w:val="left"/>
      <w:pPr>
        <w:ind w:left="1470" w:hanging="390"/>
      </w:pPr>
      <w:rPr>
        <w:rFonts w:ascii="Arial" w:eastAsia="Arial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022390">
    <w:abstractNumId w:val="1"/>
  </w:num>
  <w:num w:numId="2" w16cid:durableId="198353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C0"/>
    <w:rsid w:val="000F52AD"/>
    <w:rsid w:val="004374C0"/>
    <w:rsid w:val="00D6599B"/>
    <w:rsid w:val="00EF46CF"/>
    <w:rsid w:val="00FD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FE492"/>
  <w15:chartTrackingRefBased/>
  <w15:docId w15:val="{462A15CA-72F9-4B55-A683-CEC91CF3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C0"/>
    <w:pPr>
      <w:spacing w:line="278" w:lineRule="auto"/>
    </w:pPr>
    <w:rPr>
      <w:rFonts w:ascii="Aptos" w:eastAsia="Aptos" w:hAnsi="Aptos" w:cs="Aptos"/>
      <w:kern w:val="0"/>
      <w:sz w:val="24"/>
      <w:szCs w:val="24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374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74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74C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74C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74C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74C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74C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74C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74C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7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7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7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74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74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74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74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74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74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7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37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74C0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37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74C0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374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74C0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374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7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74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74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agui\Documents\grafico%20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agui\Downloads\BASE%20DE%20DATOS(3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agui\Downloads\BASE%20DE%20DATOS(3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Matricula</a:t>
            </a:r>
            <a:r>
              <a:rPr lang="es-MX" baseline="0"/>
              <a:t> de estudiantes en todos los niveles educativos 2021 al 2024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Hoja1!$A$2:$B$2</c:f>
              <c:strCache>
                <c:ptCount val="2"/>
                <c:pt idx="0">
                  <c:v>Estados Unidos Mexicanos</c:v>
                </c:pt>
                <c:pt idx="1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4B9-4B1A-AC79-A470143A8F87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A4B9-4B1A-AC79-A470143A8F87}"/>
              </c:ext>
            </c:extLst>
          </c:dPt>
          <c:dLbls>
            <c:dLbl>
              <c:idx val="0"/>
              <c:layout>
                <c:manualLayout>
                  <c:x val="-2.5462668816039986E-17"/>
                  <c:y val="2.151462994836488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4B9-4B1A-AC79-A470143A8F87}"/>
                </c:ext>
              </c:extLst>
            </c:dLbl>
            <c:dLbl>
              <c:idx val="1"/>
              <c:layout>
                <c:manualLayout>
                  <c:x val="-2.7777777777778798E-3"/>
                  <c:y val="2.581755593803782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B9-4B1A-AC79-A470143A8F87}"/>
                </c:ext>
              </c:extLst>
            </c:dLbl>
            <c:dLbl>
              <c:idx val="2"/>
              <c:layout>
                <c:manualLayout>
                  <c:x val="1.0185067526415994E-16"/>
                  <c:y val="2.151462994836488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4B9-4B1A-AC79-A470143A8F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Hoja1!$C$1:$E$1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Hoja1!$C$2:$E$2</c:f>
              <c:numCache>
                <c:formatCode>###,###,###,###,##0</c:formatCode>
                <c:ptCount val="3"/>
                <c:pt idx="0">
                  <c:v>32979551</c:v>
                </c:pt>
                <c:pt idx="1">
                  <c:v>33145240</c:v>
                </c:pt>
                <c:pt idx="2">
                  <c:v>33062447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4B9-4B1A-AC79-A470143A8F8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31"/>
        <c:axId val="647952440"/>
        <c:axId val="647947040"/>
      </c:barChart>
      <c:catAx>
        <c:axId val="647952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47947040"/>
        <c:crosses val="autoZero"/>
        <c:auto val="1"/>
        <c:lblAlgn val="ctr"/>
        <c:lblOffset val="100"/>
        <c:noMultiLvlLbl val="0"/>
      </c:catAx>
      <c:valAx>
        <c:axId val="64794704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,###,###,##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47952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Matriculas</a:t>
            </a:r>
            <a:r>
              <a:rPr lang="es-MX" baseline="0"/>
              <a:t> por género (Periodo 2021-24)</a:t>
            </a:r>
            <a:endParaRPr lang="es-MX"/>
          </a:p>
        </c:rich>
      </c:tx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Hoja5!$A$2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Hoja5!$B$1:$D$1</c:f>
              <c:strCache>
                <c:ptCount val="3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</c:strCache>
            </c:strRef>
          </c:cat>
          <c:val>
            <c:numRef>
              <c:f>Hoja5!$B$2:$D$2</c:f>
              <c:numCache>
                <c:formatCode>###,###,###,###,##0</c:formatCode>
                <c:ptCount val="3"/>
                <c:pt idx="0">
                  <c:v>16418226</c:v>
                </c:pt>
                <c:pt idx="1">
                  <c:v>16513323</c:v>
                </c:pt>
                <c:pt idx="2">
                  <c:v>16471800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BF-4E9D-BE69-06E1CB4B66BC}"/>
            </c:ext>
          </c:extLst>
        </c:ser>
        <c:ser>
          <c:idx val="1"/>
          <c:order val="1"/>
          <c:tx>
            <c:strRef>
              <c:f>Hoja5!$A$3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Hoja5!$B$1:$D$1</c:f>
              <c:strCache>
                <c:ptCount val="3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</c:strCache>
            </c:strRef>
          </c:cat>
          <c:val>
            <c:numRef>
              <c:f>Hoja5!$B$3:$D$3</c:f>
              <c:numCache>
                <c:formatCode>###,###,###,###,##0</c:formatCode>
                <c:ptCount val="3"/>
                <c:pt idx="0">
                  <c:v>16561325</c:v>
                </c:pt>
                <c:pt idx="1">
                  <c:v>16631917</c:v>
                </c:pt>
                <c:pt idx="2">
                  <c:v>16590647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BF-4E9D-BE69-06E1CB4B66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81339728"/>
        <c:axId val="581339008"/>
      </c:barChart>
      <c:catAx>
        <c:axId val="581339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81339008"/>
        <c:crosses val="autoZero"/>
        <c:auto val="1"/>
        <c:lblAlgn val="ctr"/>
        <c:lblOffset val="100"/>
        <c:noMultiLvlLbl val="0"/>
      </c:catAx>
      <c:valAx>
        <c:axId val="581339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,###,###,##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813397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Matriculas de</a:t>
            </a:r>
            <a:r>
              <a:rPr lang="es-MX" baseline="0"/>
              <a:t> estudiantes mujeres (Periodo 2021-24)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Hoja4!$A$2:$B$2</c:f>
              <c:strCache>
                <c:ptCount val="2"/>
                <c:pt idx="0">
                  <c:v>Estados Unidos Mexicanos</c:v>
                </c:pt>
                <c:pt idx="1">
                  <c:v>Matriculas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FB7-4A98-B44A-5DAE3FD4D8D2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3FB7-4A98-B44A-5DAE3FD4D8D2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5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3FB7-4A98-B44A-5DAE3FD4D8D2}"/>
              </c:ext>
            </c:extLst>
          </c:dPt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Hoja4!$C$1:$E$1</c:f>
              <c:strCache>
                <c:ptCount val="3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</c:strCache>
            </c:strRef>
          </c:cat>
          <c:val>
            <c:numRef>
              <c:f>Hoja4!$C$2:$E$2</c:f>
              <c:numCache>
                <c:formatCode>###,###,###,###,##0</c:formatCode>
                <c:ptCount val="3"/>
                <c:pt idx="0">
                  <c:v>16561325</c:v>
                </c:pt>
                <c:pt idx="1">
                  <c:v>16631917</c:v>
                </c:pt>
                <c:pt idx="2">
                  <c:v>16590647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3FB7-4A98-B44A-5DAE3FD4D8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82706208"/>
        <c:axId val="582704048"/>
      </c:barChart>
      <c:catAx>
        <c:axId val="582706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82704048"/>
        <c:crosses val="autoZero"/>
        <c:auto val="1"/>
        <c:lblAlgn val="ctr"/>
        <c:lblOffset val="100"/>
        <c:noMultiLvlLbl val="0"/>
      </c:catAx>
      <c:valAx>
        <c:axId val="58270404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,###,###,##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82706208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FF8E1-5E3D-4EA6-801C-D29325868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784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AGUILAR AGUIRRE</dc:creator>
  <cp:keywords/>
  <dc:description/>
  <cp:lastModifiedBy>FATIMA AGUILAR AGUIRRE</cp:lastModifiedBy>
  <cp:revision>1</cp:revision>
  <dcterms:created xsi:type="dcterms:W3CDTF">2025-03-27T13:22:00Z</dcterms:created>
  <dcterms:modified xsi:type="dcterms:W3CDTF">2025-03-27T13:40:00Z</dcterms:modified>
</cp:coreProperties>
</file>