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D2E1" w14:textId="3C79B79F" w:rsidR="00F105AB" w:rsidRDefault="004254DB">
      <w:r>
        <w:t xml:space="preserve"> </w:t>
      </w:r>
      <w:r w:rsidR="001E1B16">
        <w:t>Participación política de las</w:t>
      </w:r>
      <w:r w:rsidR="002F0EB3">
        <w:t xml:space="preserve"> mujeres y su aceptación</w:t>
      </w:r>
    </w:p>
    <w:p w14:paraId="4AC1E2C1" w14:textId="44603AAE" w:rsidR="00CF400C" w:rsidRDefault="00CF400C">
      <w:r>
        <w:t xml:space="preserve">Cruz Rodríguez Johana Marlene </w:t>
      </w:r>
    </w:p>
    <w:p w14:paraId="69F1D71F" w14:textId="77777777" w:rsidR="0067186B" w:rsidRDefault="0067186B">
      <w:pPr>
        <w:sectPr w:rsidR="0067186B" w:rsidSect="001F5972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40D22BE9" w14:textId="59EB5C37" w:rsidR="00B124E3" w:rsidRDefault="00B124E3">
      <w:r>
        <w:t>¿Cuáles son los principales retos que enfrentan las mujeres para acceder y mantenerse en cargos de elección popular?</w:t>
      </w:r>
    </w:p>
    <w:p w14:paraId="3D17260C" w14:textId="1B7A606E" w:rsidR="00CF400C" w:rsidRDefault="00CF400C">
      <w:r>
        <w:t>ABSTRACT:</w:t>
      </w:r>
    </w:p>
    <w:p w14:paraId="1FB0B20F" w14:textId="77777777" w:rsidR="00CF400C" w:rsidRDefault="00CF400C"/>
    <w:p w14:paraId="6AB15976" w14:textId="77777777" w:rsidR="00D42E95" w:rsidRDefault="0002336B">
      <w:r>
        <w:t xml:space="preserve">Palabras clave: </w:t>
      </w:r>
      <w:r w:rsidR="0083370B">
        <w:t>Participación política, mujeres,</w:t>
      </w:r>
      <w:r w:rsidR="006F3822">
        <w:t xml:space="preserve"> percepción </w:t>
      </w:r>
      <w:r w:rsidR="00D42E95">
        <w:t>.</w:t>
      </w:r>
    </w:p>
    <w:p w14:paraId="53A151B6" w14:textId="002D736A" w:rsidR="009366C1" w:rsidRDefault="009366C1">
      <w:r>
        <w:t xml:space="preserve">OBJETIVO: </w:t>
      </w:r>
    </w:p>
    <w:p w14:paraId="349A167D" w14:textId="76EC898F" w:rsidR="009366C1" w:rsidRDefault="009366C1">
      <w:r>
        <w:t xml:space="preserve">Analizar la influencia de la percepción </w:t>
      </w:r>
      <w:r w:rsidR="0083370B">
        <w:t>política</w:t>
      </w:r>
      <w:r>
        <w:t xml:space="preserve"> en la participación de las mujeres que han sido candidatas o han ocupado un cargo público, identificando los factores que favorecen o limitan su aceptación y desempeño en el ámbito político.</w:t>
      </w:r>
    </w:p>
    <w:p w14:paraId="69195049" w14:textId="5AEDFCA1" w:rsidR="005F7FDB" w:rsidRDefault="005F7FDB">
      <w:r>
        <w:t>VARIANTES RELEVANTES:</w:t>
      </w:r>
    </w:p>
    <w:p w14:paraId="2E4D5973" w14:textId="7596F63A" w:rsidR="00D67FDC" w:rsidRDefault="004F016C">
      <w:r>
        <w:t xml:space="preserve">Retos, cumplimientos en tiempo y forma de lo requerido para </w:t>
      </w:r>
      <w:r w:rsidR="00452733">
        <w:t>poder ocupar el puesto.</w:t>
      </w:r>
    </w:p>
    <w:p w14:paraId="2D2C5105" w14:textId="389E4975" w:rsidR="00930E16" w:rsidRDefault="00E50245">
      <w:r>
        <w:t xml:space="preserve">Tener en cuenta las necesidades y demandas </w:t>
      </w:r>
      <w:r w:rsidR="00930E16">
        <w:t>de la sociedad por la cual se es seleccionado.</w:t>
      </w:r>
    </w:p>
    <w:p w14:paraId="47471097" w14:textId="017270A0" w:rsidR="00D67FDC" w:rsidRDefault="00D67FDC">
      <w:r>
        <w:t xml:space="preserve">INTRODUCCIÓN </w:t>
      </w:r>
    </w:p>
    <w:p w14:paraId="10EFB1AA" w14:textId="3E72599D" w:rsidR="005F7FDB" w:rsidRDefault="00D67756">
      <w:r>
        <w:t xml:space="preserve">La </w:t>
      </w:r>
      <w:r w:rsidR="0036775B">
        <w:t>participación</w:t>
      </w:r>
      <w:r w:rsidR="00B04FF4">
        <w:t xml:space="preserve"> política </w:t>
      </w:r>
      <w:r w:rsidR="0036775B">
        <w:t xml:space="preserve">de las mujeres a lo largo de la historia ha sido un tema central entre los debates </w:t>
      </w:r>
      <w:r w:rsidR="00995E16">
        <w:t xml:space="preserve">sobre la democracia y la equidad </w:t>
      </w:r>
      <w:r w:rsidR="00AE3833">
        <w:t>de género, a pesar de los avances</w:t>
      </w:r>
      <w:r w:rsidR="00E0225E">
        <w:t xml:space="preserve"> en las </w:t>
      </w:r>
      <w:r w:rsidR="007E707D">
        <w:t>normativas</w:t>
      </w:r>
      <w:r w:rsidR="00E0225E">
        <w:t xml:space="preserve"> y políticas públicas que buscan fomentar</w:t>
      </w:r>
      <w:r w:rsidR="002E6E59">
        <w:t xml:space="preserve"> su inclusión</w:t>
      </w:r>
      <w:r w:rsidR="00AE3833">
        <w:t>, en nuestro país</w:t>
      </w:r>
      <w:r w:rsidR="0056494E">
        <w:t>, las mujeres que aspiran a cargos públicos</w:t>
      </w:r>
      <w:r w:rsidR="00794BCD">
        <w:t xml:space="preserve"> siguen enfrentando barreras en el sistema</w:t>
      </w:r>
      <w:r w:rsidR="0010182F">
        <w:t xml:space="preserve"> que condicionan la aceptación </w:t>
      </w:r>
      <w:r w:rsidR="00E01476">
        <w:t xml:space="preserve">en el ámbito político. </w:t>
      </w:r>
      <w:r w:rsidR="00F134B1">
        <w:t xml:space="preserve">La relevancia que tiene este proyecto radica en la necesidad de poder generar conocimiento a aquellas personas </w:t>
      </w:r>
      <w:r w:rsidR="00705E4F">
        <w:t>que no sepan los obstáculos y oportunidades que pueden llegar a enfrentar las mujeres en la política</w:t>
      </w:r>
      <w:r w:rsidR="00F175C6">
        <w:t xml:space="preserve">,  contribuyendo a la formulación  de posibles </w:t>
      </w:r>
      <w:r w:rsidR="00917869">
        <w:t>estrategias</w:t>
      </w:r>
      <w:r w:rsidR="00F175C6">
        <w:t xml:space="preserve"> que promuevan </w:t>
      </w:r>
      <w:r w:rsidR="00917869">
        <w:t>una representación más equitativa</w:t>
      </w:r>
      <w:r w:rsidR="00297254">
        <w:t xml:space="preserve">, en un contexto </w:t>
      </w:r>
      <w:r w:rsidR="00256C32">
        <w:t xml:space="preserve">donde la igualdad de género </w:t>
      </w:r>
      <w:r w:rsidR="00B979C7">
        <w:t xml:space="preserve">sigue siendo </w:t>
      </w:r>
      <w:r w:rsidR="006569CA">
        <w:t xml:space="preserve">un </w:t>
      </w:r>
      <w:r w:rsidR="005D70ED">
        <w:t>desafiar</w:t>
      </w:r>
      <w:r w:rsidR="000223B1">
        <w:t xml:space="preserve"> la relación </w:t>
      </w:r>
      <w:r w:rsidR="00DC6B79">
        <w:t xml:space="preserve">entre la percepción social y la participación </w:t>
      </w:r>
      <w:r w:rsidR="004542B6">
        <w:t xml:space="preserve">política </w:t>
      </w:r>
      <w:r w:rsidR="00313B66">
        <w:t xml:space="preserve">permite visibilizar los sesgos y estereotipos </w:t>
      </w:r>
      <w:r w:rsidR="007B5EB0">
        <w:t xml:space="preserve">que aún persisten, así como las estrategias que ha permitido </w:t>
      </w:r>
      <w:r w:rsidR="00622F74">
        <w:t>a muchas mujeres consolidar su liderazgo.</w:t>
      </w:r>
    </w:p>
    <w:p w14:paraId="49E169C4" w14:textId="59260105" w:rsidR="00101606" w:rsidRDefault="00B57468">
      <w:r>
        <w:t xml:space="preserve">REVISIÓN DE LITERATURA </w:t>
      </w:r>
    </w:p>
    <w:p w14:paraId="74253FE4" w14:textId="2E1FC4E2" w:rsidR="00B57468" w:rsidRDefault="0051167B">
      <w:r>
        <w:t>Para este trabajo quise centrarme en</w:t>
      </w:r>
      <w:r w:rsidR="00A100CA">
        <w:t xml:space="preserve"> el punto de vista de</w:t>
      </w:r>
      <w:r>
        <w:t xml:space="preserve"> autoras </w:t>
      </w:r>
      <w:r w:rsidR="00D55EFC">
        <w:t>mexicanas con participación política para tener en viva voz lo que se plantea</w:t>
      </w:r>
      <w:r w:rsidR="002D6DC2">
        <w:t xml:space="preserve">, </w:t>
      </w:r>
      <w:r w:rsidR="00087B7D">
        <w:t>para el texto se hizo</w:t>
      </w:r>
      <w:r w:rsidR="00A97DE5">
        <w:t xml:space="preserve"> una revisión de </w:t>
      </w:r>
      <w:r w:rsidR="00DC7DDA">
        <w:t>textos</w:t>
      </w:r>
      <w:r w:rsidR="00A97DE5">
        <w:t xml:space="preserve"> como</w:t>
      </w:r>
      <w:r w:rsidR="00266810">
        <w:t xml:space="preserve"> “La mujer en la </w:t>
      </w:r>
      <w:r w:rsidR="007E600C">
        <w:t>política</w:t>
      </w:r>
      <w:r w:rsidR="00266810">
        <w:t xml:space="preserve">” de Griselda </w:t>
      </w:r>
      <w:r w:rsidR="007E600C">
        <w:t>Álvarez</w:t>
      </w:r>
      <w:r w:rsidR="00266810">
        <w:t>,</w:t>
      </w:r>
      <w:r w:rsidR="00087B7D">
        <w:t xml:space="preserve"> “Igualdad, diferencias y desigualdades” de María José Añón </w:t>
      </w:r>
      <w:r w:rsidR="002F5361">
        <w:t xml:space="preserve">y “Equidad de género y desarrollo del liderazgo político de las mujeres en la legislación electoral mexicana” de María </w:t>
      </w:r>
      <w:r w:rsidR="0089240A">
        <w:t xml:space="preserve">Elizondo, al igual que datos oficiales del gobierno, </w:t>
      </w:r>
      <w:r w:rsidR="007E600C">
        <w:t xml:space="preserve"> como la LXII Legislatura publicado en el sitio oficial de la cámara de diputados.</w:t>
      </w:r>
    </w:p>
    <w:p w14:paraId="2E2BB0E1" w14:textId="41EE87D3" w:rsidR="00B57468" w:rsidRDefault="00BC1CEC">
      <w:r>
        <w:t>La posibilidad de que las mujeres tengan un ejercicio efectivo en el derecho de postularse y participar en candidaturas de elecciones popular (voto pasivo) constituiría solo una parte de un largo proceso necesario para lograr igualad entre hombres y mujeres en nuestro país.</w:t>
      </w:r>
    </w:p>
    <w:p w14:paraId="356C40F7" w14:textId="53CECB68" w:rsidR="00B57468" w:rsidRDefault="00FE0CDF">
      <w:r>
        <w:t>Un ejemplo de esto, sería que el establecimiento de cuotas de género que son el mandato a los partidos políticos de postular como candidatas a un determinado número de mujeres, teniendo como premisa el reconocimiento de las desigualdades que enfrentan para acceder a los cargos públicos, las listas para los cargos de representación proporcional y el destino obligatorio del 2% del presupuesto de los partidos políticos para la promoción de su liderazgo y participación política</w:t>
      </w:r>
    </w:p>
    <w:p w14:paraId="7ED96C64" w14:textId="77777777" w:rsidR="00B57468" w:rsidRDefault="00B57468"/>
    <w:p w14:paraId="00F2083C" w14:textId="68DC5039" w:rsidR="00DA419B" w:rsidRDefault="00FE0CD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A04C81" wp14:editId="5ECECC80">
            <wp:simplePos x="0" y="0"/>
            <wp:positionH relativeFrom="column">
              <wp:posOffset>-165100</wp:posOffset>
            </wp:positionH>
            <wp:positionV relativeFrom="paragraph">
              <wp:posOffset>2540</wp:posOffset>
            </wp:positionV>
            <wp:extent cx="3172460" cy="1840865"/>
            <wp:effectExtent l="0" t="0" r="8890" b="6985"/>
            <wp:wrapTopAndBottom/>
            <wp:docPr id="1126179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793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214" w:tblpY="3452"/>
        <w:tblW w:w="4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0"/>
        <w:gridCol w:w="1473"/>
        <w:gridCol w:w="608"/>
      </w:tblGrid>
      <w:tr w:rsidR="00F81178" w14:paraId="7E7C85CF" w14:textId="77777777" w:rsidTr="00F81178">
        <w:trPr>
          <w:trHeight w:val="204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D031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Partido Político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BC78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</w:rPr>
              <w:t xml:space="preserve">Mayoría representativa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2B2D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 xml:space="preserve">Representación proporcional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2030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</w:rPr>
              <w:t>TOTAL</w:t>
            </w:r>
          </w:p>
        </w:tc>
      </w:tr>
      <w:tr w:rsidR="00F81178" w14:paraId="0E15FC85" w14:textId="77777777" w:rsidTr="00F81178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5522" w14:textId="77777777" w:rsidR="00F81178" w:rsidRDefault="00F81178" w:rsidP="00F81178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A149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i/>
                <w:iCs/>
                <w:color w:val="000000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669B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i/>
                <w:iCs/>
                <w:color w:val="000000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</w:rPr>
              <w:t xml:space="preserve">%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102A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i/>
                <w:iCs/>
                <w:color w:val="000000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</w:rPr>
              <w:t xml:space="preserve">% </w:t>
            </w:r>
          </w:p>
        </w:tc>
      </w:tr>
      <w:tr w:rsidR="00F81178" w14:paraId="773818E2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24F2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65AE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912A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C0A4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21.8</w:t>
            </w:r>
          </w:p>
        </w:tc>
      </w:tr>
      <w:tr w:rsidR="00F81178" w14:paraId="09FEF8C7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96FB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DED8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DF21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ECF2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40.6</w:t>
            </w:r>
          </w:p>
        </w:tc>
      </w:tr>
      <w:tr w:rsidR="00F81178" w14:paraId="5DC37C05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9D3F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4124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F850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0707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12.2</w:t>
            </w:r>
          </w:p>
        </w:tc>
      </w:tr>
      <w:tr w:rsidR="00F81178" w14:paraId="4DE50172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BBE9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PVEM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A94A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7F4F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41B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9.4</w:t>
            </w:r>
          </w:p>
        </w:tc>
      </w:tr>
      <w:tr w:rsidR="00F81178" w14:paraId="751830E7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50BF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A386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3A5A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4D0A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</w:tr>
      <w:tr w:rsidR="00F81178" w14:paraId="35BA14F1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F791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53DD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0521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6D2C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F81178" w14:paraId="4F83BD8F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2F40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91F4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0019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C3B4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2.2</w:t>
            </w:r>
          </w:p>
        </w:tc>
      </w:tr>
      <w:tr w:rsidR="00F81178" w14:paraId="516D4F7D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09BE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Morena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7BFD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7B11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1312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7</w:t>
            </w:r>
          </w:p>
        </w:tc>
      </w:tr>
      <w:tr w:rsidR="00F81178" w14:paraId="3601D19F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3FDB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9F68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335E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8E23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1.6</w:t>
            </w:r>
          </w:p>
        </w:tc>
      </w:tr>
      <w:tr w:rsidR="00F81178" w14:paraId="2D31FE0D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92CE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Independiente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E512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9D29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FB85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0.2</w:t>
            </w:r>
          </w:p>
        </w:tc>
      </w:tr>
      <w:tr w:rsidR="00F81178" w14:paraId="16B007CD" w14:textId="77777777" w:rsidTr="00F8117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FF61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1118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8BEC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E481" w14:textId="77777777" w:rsidR="00F81178" w:rsidRDefault="00F81178" w:rsidP="00F81178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100</w:t>
            </w:r>
          </w:p>
        </w:tc>
      </w:tr>
    </w:tbl>
    <w:p w14:paraId="1EA9A668" w14:textId="76DD8D14" w:rsidR="00F6543C" w:rsidRDefault="00FB1372">
      <w:r>
        <w:t>Gracias a estas cuotas de género</w:t>
      </w:r>
      <w:r w:rsidR="003C434D">
        <w:t xml:space="preserve"> que se han establecido en el gobierno</w:t>
      </w:r>
      <w:r>
        <w:t xml:space="preserve">, </w:t>
      </w:r>
      <w:r w:rsidR="004E1D97">
        <w:t xml:space="preserve"> la LXVII Legislatura</w:t>
      </w:r>
      <w:r w:rsidR="00E13450">
        <w:t xml:space="preserve"> </w:t>
      </w:r>
      <w:r w:rsidR="004E1D97">
        <w:t xml:space="preserve"> del congreso de la Unión es la que cuenta con mayor representación de México con 36% de diputadas y 33% de senadoras como lo muestra la siguiente grafica de integración de la</w:t>
      </w:r>
      <w:r w:rsidR="003C434D">
        <w:t xml:space="preserve"> LXII</w:t>
      </w:r>
      <w:r w:rsidR="004E1D97">
        <w:t xml:space="preserve"> legislatura por género y grupo parlamentario</w:t>
      </w:r>
      <w:r w:rsidR="004C53A7">
        <w:t>, indicando la mayoría representativa,  representación proporcional y el total.</w:t>
      </w:r>
    </w:p>
    <w:p w14:paraId="03B155A9" w14:textId="77777777" w:rsidR="001D188A" w:rsidRDefault="001D188A"/>
    <w:p w14:paraId="5A10057C" w14:textId="0680A614" w:rsidR="001D188A" w:rsidRDefault="001D188A"/>
    <w:p w14:paraId="66214E67" w14:textId="77777777" w:rsidR="001D188A" w:rsidRDefault="001D188A"/>
    <w:p w14:paraId="2059D3DE" w14:textId="77777777" w:rsidR="001D188A" w:rsidRDefault="001D188A"/>
    <w:p w14:paraId="71F67F64" w14:textId="77777777" w:rsidR="001D188A" w:rsidRDefault="001D188A"/>
    <w:p w14:paraId="4E9C88A5" w14:textId="77777777" w:rsidR="001D188A" w:rsidRDefault="001D188A"/>
    <w:p w14:paraId="4CE399F9" w14:textId="77777777" w:rsidR="001D188A" w:rsidRDefault="001D188A"/>
    <w:p w14:paraId="7F3AD57D" w14:textId="4750FEC9" w:rsidR="001D188A" w:rsidRDefault="001D188A"/>
    <w:p w14:paraId="6B669EA0" w14:textId="77777777" w:rsidR="001D188A" w:rsidRDefault="001D188A"/>
    <w:p w14:paraId="6C832C32" w14:textId="77777777" w:rsidR="001D188A" w:rsidRDefault="001D188A"/>
    <w:p w14:paraId="56CF06F4" w14:textId="77777777" w:rsidR="001D188A" w:rsidRDefault="001D188A"/>
    <w:p w14:paraId="4E8B988A" w14:textId="77777777" w:rsidR="001D188A" w:rsidRDefault="001D188A"/>
    <w:p w14:paraId="16785FE3" w14:textId="77777777" w:rsidR="001D188A" w:rsidRDefault="001D188A"/>
    <w:p w14:paraId="4E43BDDC" w14:textId="77777777" w:rsidR="001D188A" w:rsidRDefault="001D188A"/>
    <w:p w14:paraId="41ACCF94" w14:textId="77777777" w:rsidR="001D188A" w:rsidRDefault="001D188A"/>
    <w:p w14:paraId="4B42AB19" w14:textId="77777777" w:rsidR="00DD575B" w:rsidRDefault="00DD575B"/>
    <w:p w14:paraId="645E709D" w14:textId="6A070BED" w:rsidR="003342CF" w:rsidRDefault="003B6693">
      <w:r>
        <w:t xml:space="preserve">No </w:t>
      </w:r>
      <w:r w:rsidR="00F97CCC">
        <w:t>obstante,</w:t>
      </w:r>
      <w:r>
        <w:t xml:space="preserve"> a lo anterior no podemos </w:t>
      </w:r>
      <w:r w:rsidR="006C3D75">
        <w:t>evitar</w:t>
      </w:r>
      <w:r>
        <w:t xml:space="preserve"> el hecho de que las mujeres no representan el </w:t>
      </w:r>
      <w:r w:rsidR="00856C80">
        <w:t>36</w:t>
      </w:r>
      <w:r>
        <w:t xml:space="preserve">% o el 40% de la población sino el 50.89% según el </w:t>
      </w:r>
      <w:r w:rsidR="00E13450">
        <w:t>INEGI</w:t>
      </w:r>
      <w:r>
        <w:t xml:space="preserve"> en el 2010 lo que obliga al obvio cuestionamiento en torno así deben aumentarse las cuotas de género hasta llegar a la igualdad</w:t>
      </w:r>
      <w:r w:rsidR="006E331E">
        <w:t xml:space="preserve">. No puede estimarse entonces que con la existencia de las </w:t>
      </w:r>
      <w:r w:rsidR="00856C80">
        <w:t>cuotas</w:t>
      </w:r>
      <w:r w:rsidR="006E331E">
        <w:t xml:space="preserve"> de género se discrimina la población que no está favorecida por ellas</w:t>
      </w:r>
      <w:r w:rsidR="00E13450">
        <w:t>, en este caso los hombres</w:t>
      </w:r>
      <w:r w:rsidR="009019D0">
        <w:t>,</w:t>
      </w:r>
      <w:r w:rsidR="00E13450">
        <w:t xml:space="preserve"> debido a que son éstos los que siempre han dominado la esencia política sin que se gobierna una población compuesta exclusiva o mayoritariamente por hombres</w:t>
      </w:r>
      <w:r w:rsidR="009019D0">
        <w:t>.</w:t>
      </w:r>
    </w:p>
    <w:p w14:paraId="1E0121FE" w14:textId="4EE652AF" w:rsidR="009019D0" w:rsidRDefault="00A02DB4">
      <w:r>
        <w:t>Al hablar sobre  el dominio político que tienen los hombres también se habla sobre los puestos de dirección dentro de los partidos políticos que en la mayoría son</w:t>
      </w:r>
      <w:r w:rsidR="00D551DC">
        <w:t xml:space="preserve"> </w:t>
      </w:r>
      <w:r w:rsidR="00825BDC">
        <w:t xml:space="preserve">ocupados por hombres en proporciones de un 80% frente a un aproximado del 20% , </w:t>
      </w:r>
      <w:r w:rsidR="00AF3438">
        <w:t xml:space="preserve">con excepción del PRD, en el que 60% de los integrantes de la Comisión Política Nacional </w:t>
      </w:r>
      <w:r w:rsidR="005D1A2A">
        <w:t xml:space="preserve">son hombres y el 40% mujeres </w:t>
      </w:r>
    </w:p>
    <w:p w14:paraId="4F4246EE" w14:textId="3F216A63" w:rsidR="008B42BC" w:rsidRDefault="004B2885">
      <w:r>
        <w:rPr>
          <w:noProof/>
        </w:rPr>
        <w:drawing>
          <wp:anchor distT="0" distB="0" distL="114300" distR="114300" simplePos="0" relativeHeight="251661312" behindDoc="0" locked="0" layoutInCell="1" allowOverlap="1" wp14:anchorId="51EFDC57" wp14:editId="3A4A89D8">
            <wp:simplePos x="0" y="0"/>
            <wp:positionH relativeFrom="column">
              <wp:posOffset>9525</wp:posOffset>
            </wp:positionH>
            <wp:positionV relativeFrom="paragraph">
              <wp:posOffset>179070</wp:posOffset>
            </wp:positionV>
            <wp:extent cx="3094355" cy="1856740"/>
            <wp:effectExtent l="0" t="0" r="10795" b="10160"/>
            <wp:wrapTopAndBottom/>
            <wp:docPr id="602920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402256-0E46-C947-1DAC-EF26462AF9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0FC0B" w14:textId="0A57D486" w:rsidR="00F97CCC" w:rsidRDefault="00F97CCC">
      <w:r>
        <w:t xml:space="preserve">Debe a entenderse que la participación política de las mujeres </w:t>
      </w:r>
      <w:r w:rsidR="0062429B">
        <w:t xml:space="preserve">es </w:t>
      </w:r>
      <w:r>
        <w:t xml:space="preserve">un derecho que tiene como finalidad garantiza la representatividad del poco más de la mitad de la </w:t>
      </w:r>
      <w:r w:rsidR="0062429B">
        <w:t>población</w:t>
      </w:r>
      <w:r>
        <w:t xml:space="preserve"> de nuestro país</w:t>
      </w:r>
      <w:r w:rsidR="0062429B">
        <w:t xml:space="preserve">, por lo que la presencia femenina  en los liderazgos </w:t>
      </w:r>
      <w:r w:rsidR="00A21FC2">
        <w:t>de los partidos políticos no solo es deseable, sino necesaria</w:t>
      </w:r>
      <w:r w:rsidR="006576FB">
        <w:t>.</w:t>
      </w:r>
    </w:p>
    <w:p w14:paraId="7560CB0F" w14:textId="3C318176" w:rsidR="0073520B" w:rsidRDefault="0073520B">
      <w:r>
        <w:t>●</w:t>
      </w:r>
      <w:r w:rsidR="00893F59">
        <w:t xml:space="preserve">Falta hablar del texto </w:t>
      </w:r>
    </w:p>
    <w:p w14:paraId="0AAD4C63" w14:textId="31527134" w:rsidR="00893F59" w:rsidRDefault="00893F59">
      <w:r>
        <w:t>MARIA ELIZONDO (</w:t>
      </w:r>
      <w:r w:rsidR="005477B2">
        <w:t>GRAFICAS, APORTE)</w:t>
      </w:r>
    </w:p>
    <w:p w14:paraId="7927498A" w14:textId="4BF42EE6" w:rsidR="006576FB" w:rsidRDefault="005E6681">
      <w:r>
        <w:lastRenderedPageBreak/>
        <w:t>CONCLUSION</w:t>
      </w:r>
      <w:r w:rsidR="0073520B">
        <w:t>:</w:t>
      </w:r>
    </w:p>
    <w:p w14:paraId="4356078A" w14:textId="77777777" w:rsidR="0073520B" w:rsidRDefault="0073520B"/>
    <w:p w14:paraId="0D067647" w14:textId="77777777" w:rsidR="0073520B" w:rsidRDefault="0073520B"/>
    <w:p w14:paraId="4603451E" w14:textId="289D7DDB" w:rsidR="00B45189" w:rsidRDefault="00B45189">
      <w:r>
        <w:t>Preguntas sin contestar</w:t>
      </w:r>
      <w:r w:rsidR="0073520B">
        <w:t>:</w:t>
      </w:r>
    </w:p>
    <w:p w14:paraId="6B354BC2" w14:textId="77777777" w:rsidR="0085561A" w:rsidRDefault="0085561A"/>
    <w:p w14:paraId="2FE56DE5" w14:textId="77777777" w:rsidR="0085561A" w:rsidRDefault="0085561A"/>
    <w:p w14:paraId="479661F6" w14:textId="77777777" w:rsidR="0085561A" w:rsidRDefault="0085561A"/>
    <w:p w14:paraId="47727FCD" w14:textId="003565DB" w:rsidR="00701E40" w:rsidRDefault="00701E40">
      <w:r>
        <w:t>R</w:t>
      </w:r>
      <w:r w:rsidR="006576FB">
        <w:t>eferencias</w:t>
      </w:r>
    </w:p>
    <w:p w14:paraId="15549C2A" w14:textId="77777777" w:rsidR="00047DCE" w:rsidRDefault="00047DCE"/>
    <w:p w14:paraId="2E59B75B" w14:textId="1BE089A0" w:rsidR="006576FB" w:rsidRDefault="00047DCE">
      <w:r>
        <w:t>Álvarez Ponce de León, Griselda</w:t>
      </w:r>
      <w:r w:rsidR="001E2213">
        <w:t xml:space="preserve">. 1989. La mujer </w:t>
      </w:r>
      <w:r w:rsidR="005E302D">
        <w:t xml:space="preserve">en la política. En Seminario sobre la </w:t>
      </w:r>
      <w:r w:rsidR="00184206">
        <w:t xml:space="preserve">participación  de la mujer en la vida nacional, </w:t>
      </w:r>
      <w:proofErr w:type="spellStart"/>
      <w:r w:rsidR="00184206">
        <w:t>comp.</w:t>
      </w:r>
      <w:proofErr w:type="spellEnd"/>
      <w:r w:rsidR="00184206">
        <w:t xml:space="preserve"> Patricia Galeana de </w:t>
      </w:r>
      <w:proofErr w:type="spellStart"/>
      <w:r w:rsidR="00184206">
        <w:t>Valadés</w:t>
      </w:r>
      <w:proofErr w:type="spellEnd"/>
      <w:r w:rsidR="00184206">
        <w:t>. 301-9</w:t>
      </w:r>
      <w:r w:rsidR="00693AFC">
        <w:t xml:space="preserve">. México: UNAM. </w:t>
      </w:r>
    </w:p>
    <w:p w14:paraId="4D49B96E" w14:textId="3DD06897" w:rsidR="00693AFC" w:rsidRDefault="00693AFC">
      <w:r>
        <w:t>Añón, María José</w:t>
      </w:r>
      <w:r w:rsidR="003B7870">
        <w:t xml:space="preserve">.  2001. Igualdad, diferencias y desigualdades. </w:t>
      </w:r>
      <w:r w:rsidR="003B7870">
        <w:rPr>
          <w:rFonts w:ascii="Arial" w:eastAsia="DengXian" w:hAnsi="Arial" w:cs="Arial"/>
          <w:lang w:eastAsia="zh-CN"/>
        </w:rPr>
        <w:t>México</w:t>
      </w:r>
      <w:r w:rsidR="003B4AF9">
        <w:rPr>
          <w:rFonts w:ascii="Arial" w:eastAsia="DengXian" w:hAnsi="Arial" w:cs="Arial"/>
          <w:lang w:eastAsia="zh-CN"/>
        </w:rPr>
        <w:t>: Biblioteca de ética</w:t>
      </w:r>
      <w:r w:rsidR="003B4AF9">
        <w:t xml:space="preserve">, Filosofía  del derecho y política </w:t>
      </w:r>
    </w:p>
    <w:p w14:paraId="31DF0155" w14:textId="78AA8B99" w:rsidR="00D8743C" w:rsidRDefault="00D8743C">
      <w:r>
        <w:t xml:space="preserve">Cámara de diputados, LXII </w:t>
      </w:r>
      <w:r w:rsidR="008337F9">
        <w:t>Legislatura</w:t>
      </w:r>
      <w:r w:rsidR="00A36F39">
        <w:t xml:space="preserve">. s. f. Integración </w:t>
      </w:r>
      <w:r w:rsidR="00FA31BA">
        <w:t>por género y grupo parlamentario. Disponible en</w:t>
      </w:r>
      <w:r w:rsidR="00323A3F">
        <w:t xml:space="preserve"> </w:t>
      </w:r>
      <w:hyperlink r:id="rId8" w:history="1">
        <w:r w:rsidR="00323A3F" w:rsidRPr="006D76F7">
          <w:rPr>
            <w:rStyle w:val="Hipervnculo"/>
          </w:rPr>
          <w:t>http://sitl.diputados.gob.mx/LXII_leg/cuadro_genero.php</w:t>
        </w:r>
      </w:hyperlink>
      <w:r w:rsidR="00FA31BA">
        <w:t xml:space="preserve"> </w:t>
      </w:r>
      <w:r w:rsidR="00323A3F">
        <w:t xml:space="preserve">(consultado el </w:t>
      </w:r>
      <w:r w:rsidR="00394063">
        <w:t>05 de Marzo de 2025)</w:t>
      </w:r>
    </w:p>
    <w:p w14:paraId="4A89F94D" w14:textId="24E16F3C" w:rsidR="00A05254" w:rsidRDefault="008816BB">
      <w:r>
        <w:t xml:space="preserve">Elizondo </w:t>
      </w:r>
      <w:proofErr w:type="spellStart"/>
      <w:r>
        <w:t>Gasperín</w:t>
      </w:r>
      <w:proofErr w:type="spellEnd"/>
      <w:r>
        <w:t xml:space="preserve">, María </w:t>
      </w:r>
      <w:proofErr w:type="spellStart"/>
      <w:r>
        <w:t>Macarita</w:t>
      </w:r>
      <w:proofErr w:type="spellEnd"/>
      <w:r>
        <w:t>. 2010</w:t>
      </w:r>
      <w:r w:rsidR="00D714AF">
        <w:t xml:space="preserve">. “Equidad de género y desarrollo del liderazgo político de las mujeres en la legislación </w:t>
      </w:r>
      <w:r w:rsidR="0044668B">
        <w:t xml:space="preserve">electoral mexicana”. En Revista </w:t>
      </w:r>
      <w:proofErr w:type="spellStart"/>
      <w:r w:rsidR="0044668B">
        <w:t>Fepade</w:t>
      </w:r>
      <w:proofErr w:type="spellEnd"/>
      <w:r w:rsidR="0044668B">
        <w:t xml:space="preserve"> difunde. Vol. 1</w:t>
      </w:r>
      <w:r w:rsidR="00BC55D3">
        <w:t xml:space="preserve">. Número 20. 113-21. México: Procuraduría </w:t>
      </w:r>
      <w:r w:rsidR="00C33569">
        <w:t xml:space="preserve">General de la República.  </w:t>
      </w:r>
    </w:p>
    <w:p w14:paraId="297BBAB7" w14:textId="77777777" w:rsidR="00394063" w:rsidRDefault="00394063"/>
    <w:p w14:paraId="79140EDE" w14:textId="77777777" w:rsidR="0085561A" w:rsidRDefault="0085561A"/>
    <w:p w14:paraId="2A34AE6D" w14:textId="77777777" w:rsidR="0085561A" w:rsidRDefault="0085561A"/>
    <w:p w14:paraId="2205FC90" w14:textId="77777777" w:rsidR="0085561A" w:rsidRDefault="0085561A"/>
    <w:p w14:paraId="347D0BD2" w14:textId="77777777" w:rsidR="0085561A" w:rsidRDefault="0085561A"/>
    <w:p w14:paraId="49BB5B23" w14:textId="77777777" w:rsidR="0085561A" w:rsidRDefault="0085561A"/>
    <w:p w14:paraId="39C538D2" w14:textId="77777777" w:rsidR="0085561A" w:rsidRDefault="0085561A"/>
    <w:p w14:paraId="4CED2122" w14:textId="77777777" w:rsidR="0085561A" w:rsidRDefault="0085561A"/>
    <w:p w14:paraId="49CCBD34" w14:textId="77777777" w:rsidR="00A21FC2" w:rsidRDefault="00A21FC2"/>
    <w:p w14:paraId="2A98E684" w14:textId="77777777" w:rsidR="00F732C8" w:rsidRDefault="00F732C8"/>
    <w:sectPr w:rsidR="00F732C8" w:rsidSect="00863682">
      <w:type w:val="continuous"/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89A9" w14:textId="77777777" w:rsidR="00E71659" w:rsidRDefault="00E71659" w:rsidP="006D53B2">
      <w:pPr>
        <w:spacing w:after="0" w:line="240" w:lineRule="auto"/>
      </w:pPr>
      <w:r>
        <w:separator/>
      </w:r>
    </w:p>
  </w:endnote>
  <w:endnote w:type="continuationSeparator" w:id="0">
    <w:p w14:paraId="2EA60E6C" w14:textId="77777777" w:rsidR="00E71659" w:rsidRDefault="00E71659" w:rsidP="006D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37C4" w14:textId="77777777" w:rsidR="00E71659" w:rsidRDefault="00E71659" w:rsidP="006D53B2">
      <w:pPr>
        <w:spacing w:after="0" w:line="240" w:lineRule="auto"/>
      </w:pPr>
      <w:r>
        <w:separator/>
      </w:r>
    </w:p>
  </w:footnote>
  <w:footnote w:type="continuationSeparator" w:id="0">
    <w:p w14:paraId="3FB9E8C5" w14:textId="77777777" w:rsidR="00E71659" w:rsidRDefault="00E71659" w:rsidP="006D5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72"/>
    <w:rsid w:val="000148C2"/>
    <w:rsid w:val="000223B1"/>
    <w:rsid w:val="0002336B"/>
    <w:rsid w:val="0002537F"/>
    <w:rsid w:val="000428BF"/>
    <w:rsid w:val="00047DCE"/>
    <w:rsid w:val="000502BE"/>
    <w:rsid w:val="00065136"/>
    <w:rsid w:val="00087B7D"/>
    <w:rsid w:val="00087F6F"/>
    <w:rsid w:val="000A50DD"/>
    <w:rsid w:val="000C7F16"/>
    <w:rsid w:val="000F788C"/>
    <w:rsid w:val="00101606"/>
    <w:rsid w:val="0010182F"/>
    <w:rsid w:val="001157C6"/>
    <w:rsid w:val="00143449"/>
    <w:rsid w:val="0017607E"/>
    <w:rsid w:val="00184206"/>
    <w:rsid w:val="00184D99"/>
    <w:rsid w:val="00197BE7"/>
    <w:rsid w:val="001D188A"/>
    <w:rsid w:val="001E083F"/>
    <w:rsid w:val="001E1B16"/>
    <w:rsid w:val="001E2213"/>
    <w:rsid w:val="001E6FA6"/>
    <w:rsid w:val="001F5972"/>
    <w:rsid w:val="00211DD4"/>
    <w:rsid w:val="002203AA"/>
    <w:rsid w:val="00240FBF"/>
    <w:rsid w:val="002442D6"/>
    <w:rsid w:val="00256C32"/>
    <w:rsid w:val="00266810"/>
    <w:rsid w:val="00274486"/>
    <w:rsid w:val="00277ED5"/>
    <w:rsid w:val="00297254"/>
    <w:rsid w:val="002C2976"/>
    <w:rsid w:val="002D6DC2"/>
    <w:rsid w:val="002E6E59"/>
    <w:rsid w:val="002F0EB3"/>
    <w:rsid w:val="002F5361"/>
    <w:rsid w:val="00313B66"/>
    <w:rsid w:val="00323A3F"/>
    <w:rsid w:val="003342CF"/>
    <w:rsid w:val="00336894"/>
    <w:rsid w:val="00337166"/>
    <w:rsid w:val="0036116D"/>
    <w:rsid w:val="0036775B"/>
    <w:rsid w:val="003879ED"/>
    <w:rsid w:val="00394063"/>
    <w:rsid w:val="0039635A"/>
    <w:rsid w:val="003A5365"/>
    <w:rsid w:val="003A672D"/>
    <w:rsid w:val="003B4AF9"/>
    <w:rsid w:val="003B65D1"/>
    <w:rsid w:val="003B6693"/>
    <w:rsid w:val="003B7870"/>
    <w:rsid w:val="003C434D"/>
    <w:rsid w:val="003D406B"/>
    <w:rsid w:val="004254DB"/>
    <w:rsid w:val="0044668B"/>
    <w:rsid w:val="00452733"/>
    <w:rsid w:val="004542B6"/>
    <w:rsid w:val="004B2885"/>
    <w:rsid w:val="004C53A7"/>
    <w:rsid w:val="004E1D97"/>
    <w:rsid w:val="004F016C"/>
    <w:rsid w:val="0051167B"/>
    <w:rsid w:val="005477B2"/>
    <w:rsid w:val="0056494E"/>
    <w:rsid w:val="00576A98"/>
    <w:rsid w:val="005A4AA1"/>
    <w:rsid w:val="005B5D79"/>
    <w:rsid w:val="005D1A2A"/>
    <w:rsid w:val="005D70ED"/>
    <w:rsid w:val="005E302D"/>
    <w:rsid w:val="005E3944"/>
    <w:rsid w:val="005E6681"/>
    <w:rsid w:val="005F7FDB"/>
    <w:rsid w:val="00622F74"/>
    <w:rsid w:val="0062429B"/>
    <w:rsid w:val="006569CA"/>
    <w:rsid w:val="006576FB"/>
    <w:rsid w:val="00664B38"/>
    <w:rsid w:val="0066646B"/>
    <w:rsid w:val="0067186B"/>
    <w:rsid w:val="006815B1"/>
    <w:rsid w:val="00693AFC"/>
    <w:rsid w:val="006C3D75"/>
    <w:rsid w:val="006D53B2"/>
    <w:rsid w:val="006E331E"/>
    <w:rsid w:val="006F3822"/>
    <w:rsid w:val="00701E40"/>
    <w:rsid w:val="00705E4F"/>
    <w:rsid w:val="0073520B"/>
    <w:rsid w:val="007400A6"/>
    <w:rsid w:val="0076093E"/>
    <w:rsid w:val="007662EE"/>
    <w:rsid w:val="00794BCD"/>
    <w:rsid w:val="007A3498"/>
    <w:rsid w:val="007B2BB6"/>
    <w:rsid w:val="007B5EB0"/>
    <w:rsid w:val="007C2A1A"/>
    <w:rsid w:val="007E600C"/>
    <w:rsid w:val="007E707D"/>
    <w:rsid w:val="00814FFB"/>
    <w:rsid w:val="00815558"/>
    <w:rsid w:val="00825BDC"/>
    <w:rsid w:val="0083370B"/>
    <w:rsid w:val="008337F9"/>
    <w:rsid w:val="0084039B"/>
    <w:rsid w:val="0085561A"/>
    <w:rsid w:val="00856C80"/>
    <w:rsid w:val="00863682"/>
    <w:rsid w:val="00866757"/>
    <w:rsid w:val="00872ACA"/>
    <w:rsid w:val="00880563"/>
    <w:rsid w:val="008816BB"/>
    <w:rsid w:val="00890744"/>
    <w:rsid w:val="0089240A"/>
    <w:rsid w:val="00893F59"/>
    <w:rsid w:val="008B42BC"/>
    <w:rsid w:val="008E2376"/>
    <w:rsid w:val="009019D0"/>
    <w:rsid w:val="00915EE8"/>
    <w:rsid w:val="00917869"/>
    <w:rsid w:val="00930E16"/>
    <w:rsid w:val="009366C1"/>
    <w:rsid w:val="009453CC"/>
    <w:rsid w:val="009877EB"/>
    <w:rsid w:val="00995E16"/>
    <w:rsid w:val="009D7911"/>
    <w:rsid w:val="009D7FD9"/>
    <w:rsid w:val="00A00BBD"/>
    <w:rsid w:val="00A02DB4"/>
    <w:rsid w:val="00A05254"/>
    <w:rsid w:val="00A100CA"/>
    <w:rsid w:val="00A21FC2"/>
    <w:rsid w:val="00A36F39"/>
    <w:rsid w:val="00A54808"/>
    <w:rsid w:val="00A76679"/>
    <w:rsid w:val="00A829EB"/>
    <w:rsid w:val="00A83506"/>
    <w:rsid w:val="00A97DE5"/>
    <w:rsid w:val="00AB11FD"/>
    <w:rsid w:val="00AB1CF5"/>
    <w:rsid w:val="00AD0FE7"/>
    <w:rsid w:val="00AE3833"/>
    <w:rsid w:val="00AF3438"/>
    <w:rsid w:val="00B04FF4"/>
    <w:rsid w:val="00B1016F"/>
    <w:rsid w:val="00B124E3"/>
    <w:rsid w:val="00B215E3"/>
    <w:rsid w:val="00B45189"/>
    <w:rsid w:val="00B5405B"/>
    <w:rsid w:val="00B57468"/>
    <w:rsid w:val="00B979C7"/>
    <w:rsid w:val="00BA7466"/>
    <w:rsid w:val="00BB1F6B"/>
    <w:rsid w:val="00BC1CEC"/>
    <w:rsid w:val="00BC55D3"/>
    <w:rsid w:val="00C031A4"/>
    <w:rsid w:val="00C06F3E"/>
    <w:rsid w:val="00C33569"/>
    <w:rsid w:val="00C562DC"/>
    <w:rsid w:val="00C91E15"/>
    <w:rsid w:val="00CA1502"/>
    <w:rsid w:val="00CA1C3B"/>
    <w:rsid w:val="00CF400C"/>
    <w:rsid w:val="00D03054"/>
    <w:rsid w:val="00D057B6"/>
    <w:rsid w:val="00D42E95"/>
    <w:rsid w:val="00D551DC"/>
    <w:rsid w:val="00D55EFC"/>
    <w:rsid w:val="00D67756"/>
    <w:rsid w:val="00D67FDC"/>
    <w:rsid w:val="00D714AF"/>
    <w:rsid w:val="00D8743C"/>
    <w:rsid w:val="00DA419B"/>
    <w:rsid w:val="00DC6B79"/>
    <w:rsid w:val="00DC7DDA"/>
    <w:rsid w:val="00DD575B"/>
    <w:rsid w:val="00DD5A32"/>
    <w:rsid w:val="00E01476"/>
    <w:rsid w:val="00E0225E"/>
    <w:rsid w:val="00E13450"/>
    <w:rsid w:val="00E32B2D"/>
    <w:rsid w:val="00E33202"/>
    <w:rsid w:val="00E50245"/>
    <w:rsid w:val="00E71659"/>
    <w:rsid w:val="00F105AB"/>
    <w:rsid w:val="00F12394"/>
    <w:rsid w:val="00F134B1"/>
    <w:rsid w:val="00F175C6"/>
    <w:rsid w:val="00F6543C"/>
    <w:rsid w:val="00F732C8"/>
    <w:rsid w:val="00F81178"/>
    <w:rsid w:val="00F844BD"/>
    <w:rsid w:val="00F97CCC"/>
    <w:rsid w:val="00FA2D21"/>
    <w:rsid w:val="00FA31BA"/>
    <w:rsid w:val="00FB1372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C6F3E"/>
  <w15:chartTrackingRefBased/>
  <w15:docId w15:val="{C62107EB-5AF5-544E-A2E1-6DFC61BF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5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5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5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5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5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59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59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59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59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59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9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5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5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59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59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59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5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59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59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D5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3B2"/>
  </w:style>
  <w:style w:type="paragraph" w:styleId="Piedepgina">
    <w:name w:val="footer"/>
    <w:basedOn w:val="Normal"/>
    <w:link w:val="PiedepginaCar"/>
    <w:uiPriority w:val="99"/>
    <w:unhideWhenUsed/>
    <w:rsid w:val="006D5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3B2"/>
  </w:style>
  <w:style w:type="character" w:styleId="Hipervnculo">
    <w:name w:val="Hyperlink"/>
    <w:basedOn w:val="Fuentedeprrafopredeter"/>
    <w:uiPriority w:val="99"/>
    <w:unhideWhenUsed/>
    <w:rsid w:val="00FA31B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31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31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l.diputados.gob.mx/LXII_leg/cuadro_genero.php" TargetMode="External" /><Relationship Id="rId3" Type="http://schemas.openxmlformats.org/officeDocument/2006/relationships/webSettings" Target="webSettings.xml" /><Relationship Id="rId7" Type="http://schemas.openxmlformats.org/officeDocument/2006/relationships/chart" Target="charts/chart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charts/_rels/chart1.xml.rels><?xml version="1.0" encoding="UTF-8" standalone="yes"?>
<Relationships xmlns="http://schemas.openxmlformats.org/package/2006/relationships"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US"/>
              <a:t>DIRIGENCIAS PARTIDISTAS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[genero_dirigencias.xlsx]Sheet1!$H$1:$H$2</c:f>
              <c:strCache>
                <c:ptCount val="2"/>
                <c:pt idx="0">
                  <c:v>DIRIGENCIAS PARTIDISTAS</c:v>
                </c:pt>
                <c:pt idx="1">
                  <c:v>Hombres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[genero_dirigencias.xlsx]Sheet1!$G$3:$G$7</c:f>
              <c:strCache>
                <c:ptCount val="5"/>
                <c:pt idx="0">
                  <c:v>PRD</c:v>
                </c:pt>
                <c:pt idx="1">
                  <c:v>PRI</c:v>
                </c:pt>
                <c:pt idx="2">
                  <c:v>MC</c:v>
                </c:pt>
                <c:pt idx="3">
                  <c:v>PVEM</c:v>
                </c:pt>
                <c:pt idx="4">
                  <c:v>PT</c:v>
                </c:pt>
              </c:strCache>
            </c:strRef>
          </c:cat>
          <c:val>
            <c:numRef>
              <c:f>[genero_dirigencias.xlsx]Sheet1!$H$3:$H$7</c:f>
              <c:numCache>
                <c:formatCode>General</c:formatCode>
                <c:ptCount val="5"/>
                <c:pt idx="0">
                  <c:v>60</c:v>
                </c:pt>
                <c:pt idx="1">
                  <c:v>66.66</c:v>
                </c:pt>
                <c:pt idx="2">
                  <c:v>70</c:v>
                </c:pt>
                <c:pt idx="3">
                  <c:v>80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E9-6649-ACF7-23DFA0236FC5}"/>
            </c:ext>
          </c:extLst>
        </c:ser>
        <c:ser>
          <c:idx val="1"/>
          <c:order val="1"/>
          <c:tx>
            <c:strRef>
              <c:f>[genero_dirigencias.xlsx]Sheet1!$I$1:$I$2</c:f>
              <c:strCache>
                <c:ptCount val="2"/>
                <c:pt idx="0">
                  <c:v>DIRIGENCIAS PARTIDISTAS</c:v>
                </c:pt>
                <c:pt idx="1">
                  <c:v>Mujeres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[genero_dirigencias.xlsx]Sheet1!$G$3:$G$7</c:f>
              <c:strCache>
                <c:ptCount val="5"/>
                <c:pt idx="0">
                  <c:v>PRD</c:v>
                </c:pt>
                <c:pt idx="1">
                  <c:v>PRI</c:v>
                </c:pt>
                <c:pt idx="2">
                  <c:v>MC</c:v>
                </c:pt>
                <c:pt idx="3">
                  <c:v>PVEM</c:v>
                </c:pt>
                <c:pt idx="4">
                  <c:v>PT</c:v>
                </c:pt>
              </c:strCache>
            </c:strRef>
          </c:cat>
          <c:val>
            <c:numRef>
              <c:f>[genero_dirigencias.xlsx]Sheet1!$I$3:$I$7</c:f>
              <c:numCache>
                <c:formatCode>General</c:formatCode>
                <c:ptCount val="5"/>
                <c:pt idx="0">
                  <c:v>40</c:v>
                </c:pt>
                <c:pt idx="1">
                  <c:v>33.33</c:v>
                </c:pt>
                <c:pt idx="2">
                  <c:v>30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E9-6649-ACF7-23DFA0236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8416528"/>
        <c:axId val="408889616"/>
        <c:axId val="0"/>
      </c:bar3DChart>
      <c:catAx>
        <c:axId val="40841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S"/>
          </a:p>
        </c:txPr>
        <c:crossAx val="408889616"/>
        <c:crosses val="autoZero"/>
        <c:auto val="1"/>
        <c:lblAlgn val="ctr"/>
        <c:lblOffset val="100"/>
        <c:noMultiLvlLbl val="0"/>
      </c:catAx>
      <c:valAx>
        <c:axId val="40888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S"/>
          </a:p>
        </c:txPr>
        <c:crossAx val="408416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US"/>
    </a:p>
  </c:txPr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Marlene Cruz Rodriguez</dc:creator>
  <cp:keywords/>
  <dc:description/>
  <cp:lastModifiedBy>Johana Marlene Cruz Rodriguez</cp:lastModifiedBy>
  <cp:revision>2</cp:revision>
  <dcterms:created xsi:type="dcterms:W3CDTF">2025-03-27T02:54:00Z</dcterms:created>
  <dcterms:modified xsi:type="dcterms:W3CDTF">2025-03-27T02:54:00Z</dcterms:modified>
</cp:coreProperties>
</file>